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989" w:rsidRDefault="00EA0B99" w:rsidP="00C35B45">
      <w:pPr>
        <w:tabs>
          <w:tab w:val="center" w:pos="4309"/>
        </w:tabs>
        <w:spacing w:beforeLines="300" w:line="560" w:lineRule="exact"/>
        <w:jc w:val="center"/>
        <w:rPr>
          <w:rFonts w:ascii="楷体_GB2312" w:eastAsia="楷体_GB2312" w:hAnsi="楷体"/>
          <w:b/>
          <w:color w:val="984806" w:themeColor="accent6" w:themeShade="80"/>
          <w:w w:val="90"/>
          <w:kern w:val="0"/>
          <w:sz w:val="110"/>
          <w:szCs w:val="110"/>
        </w:rPr>
      </w:pPr>
      <w:r>
        <w:rPr>
          <w:rFonts w:ascii="楷体_GB2312" w:eastAsia="楷体_GB2312" w:hAnsi="楷体" w:hint="eastAsia"/>
          <w:b/>
          <w:color w:val="984806" w:themeColor="accent6" w:themeShade="80"/>
          <w:w w:val="90"/>
          <w:kern w:val="0"/>
          <w:sz w:val="110"/>
          <w:szCs w:val="110"/>
        </w:rPr>
        <w:t>林业经济技术信息</w:t>
      </w:r>
    </w:p>
    <w:p w:rsidR="00815989" w:rsidRDefault="00EA0B99" w:rsidP="00C35B45">
      <w:pPr>
        <w:spacing w:beforeLines="50" w:afterLines="50" w:line="560" w:lineRule="exact"/>
        <w:jc w:val="center"/>
        <w:rPr>
          <w:rFonts w:asciiTheme="minorEastAsia" w:hAnsiTheme="minorEastAsia"/>
          <w:b/>
          <w:sz w:val="28"/>
          <w:szCs w:val="28"/>
        </w:rPr>
      </w:pPr>
      <w:r>
        <w:rPr>
          <w:rFonts w:asciiTheme="minorEastAsia" w:hAnsiTheme="minorEastAsia" w:cs="Times New Roman" w:hint="eastAsia"/>
          <w:b/>
          <w:sz w:val="28"/>
          <w:szCs w:val="28"/>
        </w:rPr>
        <w:t>第</w:t>
      </w:r>
      <w:r w:rsidR="00F71C39">
        <w:rPr>
          <w:rFonts w:asciiTheme="minorEastAsia" w:hAnsiTheme="minorEastAsia" w:cs="Times New Roman" w:hint="eastAsia"/>
          <w:b/>
          <w:sz w:val="28"/>
          <w:szCs w:val="28"/>
        </w:rPr>
        <w:t>7</w:t>
      </w:r>
      <w:r>
        <w:rPr>
          <w:rFonts w:asciiTheme="minorEastAsia" w:hAnsiTheme="minorEastAsia" w:cs="Times New Roman" w:hint="eastAsia"/>
          <w:b/>
          <w:sz w:val="28"/>
          <w:szCs w:val="28"/>
        </w:rPr>
        <w:t>、</w:t>
      </w:r>
      <w:r w:rsidR="00F71C39">
        <w:rPr>
          <w:rFonts w:asciiTheme="minorEastAsia" w:hAnsiTheme="minorEastAsia" w:cs="Times New Roman" w:hint="eastAsia"/>
          <w:b/>
          <w:sz w:val="28"/>
          <w:szCs w:val="28"/>
        </w:rPr>
        <w:t>8</w:t>
      </w:r>
      <w:r>
        <w:rPr>
          <w:rFonts w:asciiTheme="minorEastAsia" w:hAnsiTheme="minorEastAsia" w:cs="Times New Roman" w:hint="eastAsia"/>
          <w:b/>
          <w:sz w:val="28"/>
          <w:szCs w:val="28"/>
        </w:rPr>
        <w:t>期</w:t>
      </w:r>
      <w:r>
        <w:rPr>
          <w:rFonts w:asciiTheme="minorEastAsia" w:hAnsiTheme="minorEastAsia" w:hint="eastAsia"/>
          <w:b/>
          <w:sz w:val="28"/>
          <w:szCs w:val="28"/>
        </w:rPr>
        <w:t>（总第20</w:t>
      </w:r>
      <w:r w:rsidR="00F536A2">
        <w:rPr>
          <w:rFonts w:asciiTheme="minorEastAsia" w:hAnsiTheme="minorEastAsia" w:hint="eastAsia"/>
          <w:b/>
          <w:sz w:val="28"/>
          <w:szCs w:val="28"/>
        </w:rPr>
        <w:t>9</w:t>
      </w:r>
      <w:r>
        <w:rPr>
          <w:rFonts w:asciiTheme="minorEastAsia" w:hAnsiTheme="minorEastAsia" w:hint="eastAsia"/>
          <w:b/>
          <w:sz w:val="28"/>
          <w:szCs w:val="28"/>
        </w:rPr>
        <w:t>、2</w:t>
      </w:r>
      <w:r w:rsidR="00F71C39">
        <w:rPr>
          <w:rFonts w:asciiTheme="minorEastAsia" w:hAnsiTheme="minorEastAsia" w:hint="eastAsia"/>
          <w:b/>
          <w:sz w:val="28"/>
          <w:szCs w:val="28"/>
        </w:rPr>
        <w:t>10</w:t>
      </w:r>
      <w:r>
        <w:rPr>
          <w:rFonts w:asciiTheme="minorEastAsia" w:hAnsiTheme="minorEastAsia" w:hint="eastAsia"/>
          <w:b/>
          <w:sz w:val="28"/>
          <w:szCs w:val="28"/>
        </w:rPr>
        <w:t>期）</w:t>
      </w:r>
    </w:p>
    <w:p w:rsidR="00815989" w:rsidRDefault="00EA0B99">
      <w:pPr>
        <w:spacing w:line="400" w:lineRule="exact"/>
        <w:jc w:val="left"/>
        <w:rPr>
          <w:rFonts w:asciiTheme="minorEastAsia" w:hAnsiTheme="minorEastAsia"/>
          <w:sz w:val="30"/>
          <w:szCs w:val="30"/>
        </w:rPr>
      </w:pPr>
      <w:r>
        <w:rPr>
          <w:rFonts w:asciiTheme="minorEastAsia" w:hAnsiTheme="minorEastAsia" w:hint="eastAsia"/>
          <w:b/>
          <w:sz w:val="30"/>
          <w:szCs w:val="30"/>
        </w:rPr>
        <w:t xml:space="preserve">吉林省林业科学研究院  </w:t>
      </w:r>
      <w:r>
        <w:rPr>
          <w:rFonts w:ascii="楷体_GB2312" w:eastAsia="楷体_GB2312" w:hAnsiTheme="minorEastAsia" w:hint="eastAsia"/>
          <w:b/>
          <w:sz w:val="30"/>
          <w:szCs w:val="30"/>
        </w:rPr>
        <w:t xml:space="preserve">主办                     </w:t>
      </w:r>
      <w:r>
        <w:rPr>
          <w:rFonts w:asciiTheme="minorEastAsia" w:hAnsiTheme="minorEastAsia" w:hint="eastAsia"/>
          <w:b/>
          <w:sz w:val="30"/>
          <w:szCs w:val="30"/>
        </w:rPr>
        <w:t>2022-0</w:t>
      </w:r>
      <w:r w:rsidR="00F71C39">
        <w:rPr>
          <w:rFonts w:asciiTheme="minorEastAsia" w:hAnsiTheme="minorEastAsia" w:hint="eastAsia"/>
          <w:b/>
          <w:sz w:val="30"/>
          <w:szCs w:val="30"/>
        </w:rPr>
        <w:t>7</w:t>
      </w:r>
      <w:r>
        <w:rPr>
          <w:rFonts w:asciiTheme="minorEastAsia" w:hAnsiTheme="minorEastAsia" w:hint="eastAsia"/>
          <w:b/>
          <w:sz w:val="30"/>
          <w:szCs w:val="30"/>
        </w:rPr>
        <w:t>-</w:t>
      </w:r>
      <w:r w:rsidR="00A44740">
        <w:rPr>
          <w:rFonts w:asciiTheme="minorEastAsia" w:hAnsiTheme="minorEastAsia" w:hint="eastAsia"/>
          <w:b/>
          <w:sz w:val="30"/>
          <w:szCs w:val="30"/>
        </w:rPr>
        <w:t>3</w:t>
      </w:r>
      <w:r w:rsidR="00F71C39">
        <w:rPr>
          <w:rFonts w:asciiTheme="minorEastAsia" w:hAnsiTheme="minorEastAsia" w:hint="eastAsia"/>
          <w:b/>
          <w:sz w:val="30"/>
          <w:szCs w:val="30"/>
        </w:rPr>
        <w:t>1</w:t>
      </w:r>
      <w:r>
        <w:rPr>
          <w:rFonts w:asciiTheme="minorEastAsia" w:hAnsiTheme="minorEastAsia" w:hint="eastAsia"/>
          <w:sz w:val="30"/>
          <w:szCs w:val="30"/>
        </w:rPr>
        <w:t xml:space="preserve">              </w:t>
      </w:r>
    </w:p>
    <w:p w:rsidR="00815989" w:rsidRDefault="000B153B">
      <w:pPr>
        <w:spacing w:line="400" w:lineRule="exact"/>
        <w:jc w:val="center"/>
        <w:rPr>
          <w:rFonts w:ascii="黑体" w:eastAsia="黑体"/>
          <w:b/>
          <w:sz w:val="44"/>
          <w:szCs w:val="44"/>
        </w:rPr>
      </w:pPr>
      <w:r w:rsidRPr="000B153B">
        <w:rPr>
          <w:rFonts w:ascii="黑体" w:eastAsia="黑体" w:hAnsiTheme="minorEastAsia"/>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9264" o:connectortype="straight" strokeweight="1.25pt"/>
        </w:pict>
      </w:r>
    </w:p>
    <w:p w:rsidR="00815989" w:rsidRDefault="00EA0B99">
      <w:pPr>
        <w:spacing w:line="400" w:lineRule="exact"/>
        <w:jc w:val="center"/>
        <w:rPr>
          <w:rFonts w:ascii="黑体" w:eastAsia="黑体"/>
          <w:b/>
          <w:sz w:val="44"/>
          <w:szCs w:val="44"/>
        </w:rPr>
      </w:pPr>
      <w:r>
        <w:rPr>
          <w:rFonts w:ascii="黑体" w:eastAsia="黑体" w:hint="eastAsia"/>
          <w:b/>
          <w:sz w:val="44"/>
          <w:szCs w:val="44"/>
        </w:rPr>
        <w:t>目    录</w:t>
      </w:r>
    </w:p>
    <w:p w:rsidR="00815989" w:rsidRPr="00666AA0" w:rsidRDefault="00EA0B99" w:rsidP="00C35B45">
      <w:pPr>
        <w:spacing w:beforeLines="150" w:line="320" w:lineRule="exact"/>
        <w:jc w:val="left"/>
        <w:rPr>
          <w:rFonts w:ascii="黑体" w:eastAsia="黑体" w:hAnsiTheme="minorEastAsia" w:cs="宋体"/>
          <w:b/>
          <w:color w:val="4F6228" w:themeColor="accent3" w:themeShade="80"/>
          <w:kern w:val="0"/>
          <w:sz w:val="26"/>
          <w:szCs w:val="26"/>
        </w:rPr>
      </w:pPr>
      <w:r w:rsidRPr="00666AA0">
        <w:rPr>
          <w:rFonts w:ascii="黑体" w:eastAsia="黑体" w:hAnsiTheme="minorEastAsia" w:cs="宋体" w:hint="eastAsia"/>
          <w:b/>
          <w:color w:val="4F6228" w:themeColor="accent3" w:themeShade="80"/>
          <w:kern w:val="0"/>
          <w:sz w:val="26"/>
          <w:szCs w:val="26"/>
        </w:rPr>
        <w:t>行业动态</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hint="eastAsia"/>
          <w:b/>
          <w:bCs/>
          <w:sz w:val="23"/>
          <w:szCs w:val="23"/>
        </w:rPr>
        <w:t>世界生物圈保护区成员增至738个</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hint="eastAsia"/>
          <w:b/>
          <w:bCs/>
          <w:sz w:val="23"/>
          <w:szCs w:val="23"/>
        </w:rPr>
        <w:t>国家林草局调度全国林业改革发展综合试点工作</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hint="eastAsia"/>
          <w:b/>
          <w:bCs/>
          <w:sz w:val="23"/>
          <w:szCs w:val="23"/>
        </w:rPr>
        <w:t>我国全面建立林长制目标如期实现</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hint="eastAsia"/>
          <w:b/>
          <w:bCs/>
          <w:sz w:val="23"/>
          <w:szCs w:val="23"/>
        </w:rPr>
        <w:t>三北五期工程取得巨大生态经济社会效益</w:t>
      </w:r>
    </w:p>
    <w:p w:rsidR="00815989" w:rsidRPr="009814DA" w:rsidRDefault="00EA0B99" w:rsidP="00C35B45">
      <w:pPr>
        <w:spacing w:beforeLines="30" w:afterLines="30" w:line="320" w:lineRule="exact"/>
        <w:jc w:val="left"/>
        <w:rPr>
          <w:rFonts w:ascii="黑体" w:eastAsia="黑体" w:hAnsiTheme="minorEastAsia" w:cs="宋体"/>
          <w:b/>
          <w:color w:val="4F6228" w:themeColor="accent3" w:themeShade="80"/>
          <w:kern w:val="0"/>
          <w:sz w:val="24"/>
          <w:szCs w:val="24"/>
        </w:rPr>
      </w:pPr>
      <w:r w:rsidRPr="009814DA">
        <w:rPr>
          <w:rFonts w:ascii="黑体" w:eastAsia="黑体" w:hAnsiTheme="minorEastAsia" w:cs="宋体" w:hint="eastAsia"/>
          <w:b/>
          <w:color w:val="4F6228" w:themeColor="accent3" w:themeShade="80"/>
          <w:kern w:val="0"/>
          <w:sz w:val="24"/>
          <w:szCs w:val="24"/>
        </w:rPr>
        <w:t>科技资讯</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b/>
          <w:bCs/>
          <w:sz w:val="23"/>
          <w:szCs w:val="23"/>
        </w:rPr>
        <w:t>中国林科院3个沙棘无性系通过国家林木良种审定</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b/>
          <w:bCs/>
          <w:sz w:val="23"/>
          <w:szCs w:val="23"/>
        </w:rPr>
        <w:t>科学精准评估退耕还林还草工程生态效益</w:t>
      </w:r>
    </w:p>
    <w:p w:rsidR="00815989" w:rsidRPr="009814DA" w:rsidRDefault="00EA0B99" w:rsidP="00C35B45">
      <w:pPr>
        <w:spacing w:beforeLines="30" w:afterLines="30" w:line="320" w:lineRule="exact"/>
        <w:jc w:val="left"/>
        <w:rPr>
          <w:rFonts w:ascii="黑体" w:eastAsia="黑体" w:hAnsiTheme="minorEastAsia" w:cs="宋体"/>
          <w:b/>
          <w:color w:val="4F6228" w:themeColor="accent3" w:themeShade="80"/>
          <w:kern w:val="0"/>
          <w:sz w:val="24"/>
          <w:szCs w:val="24"/>
        </w:rPr>
      </w:pPr>
      <w:r w:rsidRPr="009814DA">
        <w:rPr>
          <w:rFonts w:ascii="黑体" w:eastAsia="黑体" w:hAnsiTheme="minorEastAsia" w:cs="宋体" w:hint="eastAsia"/>
          <w:b/>
          <w:color w:val="4F6228" w:themeColor="accent3" w:themeShade="80"/>
          <w:kern w:val="0"/>
          <w:sz w:val="24"/>
          <w:szCs w:val="24"/>
        </w:rPr>
        <w:t>林</w:t>
      </w:r>
      <w:r w:rsidR="00D37BE7">
        <w:rPr>
          <w:rFonts w:ascii="黑体" w:eastAsia="黑体" w:hAnsiTheme="minorEastAsia" w:cs="宋体" w:hint="eastAsia"/>
          <w:b/>
          <w:color w:val="4F6228" w:themeColor="accent3" w:themeShade="80"/>
          <w:kern w:val="0"/>
          <w:sz w:val="24"/>
          <w:szCs w:val="24"/>
        </w:rPr>
        <w:t>草</w:t>
      </w:r>
      <w:r w:rsidRPr="009814DA">
        <w:rPr>
          <w:rFonts w:ascii="黑体" w:eastAsia="黑体" w:hAnsiTheme="minorEastAsia" w:cs="宋体" w:hint="eastAsia"/>
          <w:b/>
          <w:color w:val="4F6228" w:themeColor="accent3" w:themeShade="80"/>
          <w:kern w:val="0"/>
          <w:sz w:val="24"/>
          <w:szCs w:val="24"/>
        </w:rPr>
        <w:t>碳汇</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b/>
          <w:bCs/>
          <w:sz w:val="23"/>
          <w:szCs w:val="23"/>
        </w:rPr>
        <w:t>首届全国林草碳汇高峰论坛举办</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b/>
          <w:bCs/>
          <w:sz w:val="23"/>
          <w:szCs w:val="23"/>
        </w:rPr>
        <w:t>福建三明启动林业碳汇</w:t>
      </w:r>
      <w:r w:rsidRPr="00666AA0">
        <w:rPr>
          <w:rFonts w:ascii="黑体" w:eastAsia="黑体" w:hAnsiTheme="minorEastAsia"/>
          <w:b/>
          <w:bCs/>
          <w:sz w:val="23"/>
          <w:szCs w:val="23"/>
        </w:rPr>
        <w:t>“</w:t>
      </w:r>
      <w:r w:rsidRPr="00666AA0">
        <w:rPr>
          <w:rFonts w:ascii="黑体" w:eastAsia="黑体" w:hAnsiTheme="minorEastAsia"/>
          <w:b/>
          <w:bCs/>
          <w:sz w:val="23"/>
          <w:szCs w:val="23"/>
        </w:rPr>
        <w:t>三建两创</w:t>
      </w:r>
      <w:r w:rsidRPr="00666AA0">
        <w:rPr>
          <w:rFonts w:ascii="黑体" w:eastAsia="黑体" w:hAnsiTheme="minorEastAsia"/>
          <w:b/>
          <w:bCs/>
          <w:sz w:val="23"/>
          <w:szCs w:val="23"/>
        </w:rPr>
        <w:t>”</w:t>
      </w:r>
      <w:r w:rsidRPr="00666AA0">
        <w:rPr>
          <w:rFonts w:ascii="黑体" w:eastAsia="黑体" w:hAnsiTheme="minorEastAsia"/>
          <w:b/>
          <w:bCs/>
          <w:sz w:val="23"/>
          <w:szCs w:val="23"/>
        </w:rPr>
        <w:t>行动</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b/>
          <w:bCs/>
          <w:sz w:val="23"/>
          <w:szCs w:val="23"/>
        </w:rPr>
        <w:t>浙江加强林业固碳增汇试点建设管理</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b/>
          <w:bCs/>
          <w:sz w:val="23"/>
          <w:szCs w:val="23"/>
        </w:rPr>
        <w:t>安徽凤阳发放</w:t>
      </w:r>
      <w:r w:rsidRPr="00666AA0">
        <w:rPr>
          <w:rFonts w:ascii="黑体" w:eastAsia="黑体" w:hAnsiTheme="minorEastAsia"/>
          <w:b/>
          <w:bCs/>
          <w:sz w:val="23"/>
          <w:szCs w:val="23"/>
        </w:rPr>
        <w:t>“</w:t>
      </w:r>
      <w:r w:rsidRPr="00666AA0">
        <w:rPr>
          <w:rFonts w:ascii="黑体" w:eastAsia="黑体" w:hAnsiTheme="minorEastAsia"/>
          <w:b/>
          <w:bCs/>
          <w:sz w:val="23"/>
          <w:szCs w:val="23"/>
        </w:rPr>
        <w:t>碳中和</w:t>
      </w:r>
      <w:r w:rsidRPr="00666AA0">
        <w:rPr>
          <w:rFonts w:ascii="黑体" w:eastAsia="黑体" w:hAnsiTheme="minorEastAsia"/>
          <w:b/>
          <w:bCs/>
          <w:sz w:val="23"/>
          <w:szCs w:val="23"/>
        </w:rPr>
        <w:t>”</w:t>
      </w:r>
      <w:r w:rsidRPr="00666AA0">
        <w:rPr>
          <w:rFonts w:ascii="黑体" w:eastAsia="黑体" w:hAnsiTheme="minorEastAsia"/>
          <w:b/>
          <w:bCs/>
          <w:sz w:val="23"/>
          <w:szCs w:val="23"/>
        </w:rPr>
        <w:t>体验卡</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b/>
          <w:bCs/>
          <w:sz w:val="23"/>
          <w:szCs w:val="23"/>
        </w:rPr>
        <w:t>江西九江到2025年新增林业碳汇约3000万吨</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hint="eastAsia"/>
          <w:b/>
          <w:bCs/>
          <w:sz w:val="23"/>
          <w:szCs w:val="23"/>
        </w:rPr>
        <w:t>甘肃开展人工草地固碳能力及碳汇价值评估</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hint="eastAsia"/>
          <w:b/>
          <w:bCs/>
          <w:sz w:val="23"/>
          <w:szCs w:val="23"/>
        </w:rPr>
        <w:t>越南大力推进碳信用市场建设</w:t>
      </w:r>
    </w:p>
    <w:p w:rsidR="00815989" w:rsidRPr="009814DA" w:rsidRDefault="00EA0B99" w:rsidP="00C35B45">
      <w:pPr>
        <w:spacing w:beforeLines="30" w:afterLines="30" w:line="320" w:lineRule="exact"/>
        <w:jc w:val="left"/>
        <w:rPr>
          <w:rFonts w:ascii="黑体" w:eastAsia="黑体" w:hAnsiTheme="minorEastAsia" w:cs="宋体"/>
          <w:b/>
          <w:color w:val="4F6228" w:themeColor="accent3" w:themeShade="80"/>
          <w:kern w:val="0"/>
          <w:sz w:val="24"/>
          <w:szCs w:val="24"/>
        </w:rPr>
      </w:pPr>
      <w:r w:rsidRPr="009814DA">
        <w:rPr>
          <w:rFonts w:ascii="黑体" w:eastAsia="黑体" w:hAnsiTheme="minorEastAsia" w:cs="宋体" w:hint="eastAsia"/>
          <w:b/>
          <w:color w:val="4F6228" w:themeColor="accent3" w:themeShade="80"/>
          <w:kern w:val="0"/>
          <w:sz w:val="24"/>
          <w:szCs w:val="24"/>
        </w:rPr>
        <w:t>产业经济</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b/>
          <w:bCs/>
          <w:sz w:val="23"/>
          <w:szCs w:val="23"/>
        </w:rPr>
        <w:t>专家研讨创建现代林业产业示范区</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b/>
          <w:bCs/>
          <w:sz w:val="23"/>
          <w:szCs w:val="23"/>
        </w:rPr>
        <w:t>林草可为中药高质量发展作出独特贡献</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b/>
          <w:bCs/>
          <w:sz w:val="23"/>
          <w:szCs w:val="23"/>
        </w:rPr>
        <w:t>经济林产业标准化在支撑引领中成长</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b/>
          <w:bCs/>
          <w:sz w:val="23"/>
          <w:szCs w:val="23"/>
        </w:rPr>
        <w:t>南京林业大学鼓励教师服务企业</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hint="eastAsia"/>
          <w:b/>
          <w:bCs/>
          <w:sz w:val="23"/>
          <w:szCs w:val="23"/>
        </w:rPr>
        <w:t>吉林省千亿级梅花鹿产业招商推介会举办</w:t>
      </w:r>
    </w:p>
    <w:p w:rsidR="00F71C39" w:rsidRPr="00666AA0" w:rsidRDefault="00F71C39"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b/>
          <w:bCs/>
          <w:sz w:val="23"/>
          <w:szCs w:val="23"/>
        </w:rPr>
        <w:t>广西加快发展森林康养产业</w:t>
      </w:r>
    </w:p>
    <w:p w:rsidR="00815989" w:rsidRPr="009814DA" w:rsidRDefault="00EA0B99" w:rsidP="00C35B45">
      <w:pPr>
        <w:spacing w:beforeLines="30" w:afterLines="30" w:line="320" w:lineRule="exact"/>
        <w:jc w:val="left"/>
        <w:rPr>
          <w:rFonts w:ascii="黑体" w:eastAsia="黑体" w:hAnsiTheme="minorEastAsia" w:cs="宋体"/>
          <w:b/>
          <w:color w:val="4F6228" w:themeColor="accent3" w:themeShade="80"/>
          <w:kern w:val="0"/>
          <w:sz w:val="24"/>
          <w:szCs w:val="24"/>
        </w:rPr>
      </w:pPr>
      <w:r w:rsidRPr="009814DA">
        <w:rPr>
          <w:rFonts w:ascii="黑体" w:eastAsia="黑体" w:hAnsiTheme="minorEastAsia" w:cs="宋体" w:hint="eastAsia"/>
          <w:b/>
          <w:color w:val="4F6228" w:themeColor="accent3" w:themeShade="80"/>
          <w:kern w:val="0"/>
          <w:sz w:val="24"/>
          <w:szCs w:val="24"/>
        </w:rPr>
        <w:t>科普之窗</w:t>
      </w:r>
    </w:p>
    <w:p w:rsidR="00D41464" w:rsidRPr="00666AA0" w:rsidRDefault="00D41464"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hint="eastAsia"/>
          <w:b/>
          <w:bCs/>
          <w:sz w:val="23"/>
          <w:szCs w:val="23"/>
        </w:rPr>
        <w:t>国家林草局木材标本资源库成立</w:t>
      </w:r>
    </w:p>
    <w:p w:rsidR="00D41464" w:rsidRPr="00666AA0" w:rsidRDefault="00D41464" w:rsidP="00D41464">
      <w:pPr>
        <w:pStyle w:val="ac"/>
        <w:numPr>
          <w:ilvl w:val="0"/>
          <w:numId w:val="3"/>
        </w:numPr>
        <w:spacing w:line="360" w:lineRule="exact"/>
        <w:ind w:leftChars="200" w:left="777" w:firstLineChars="0" w:hanging="357"/>
        <w:jc w:val="left"/>
        <w:rPr>
          <w:rFonts w:ascii="黑体" w:eastAsia="黑体" w:hAnsiTheme="minorEastAsia"/>
          <w:b/>
          <w:bCs/>
          <w:sz w:val="23"/>
          <w:szCs w:val="23"/>
        </w:rPr>
      </w:pPr>
      <w:r w:rsidRPr="00666AA0">
        <w:rPr>
          <w:rFonts w:ascii="黑体" w:eastAsia="黑体" w:hAnsiTheme="minorEastAsia"/>
          <w:b/>
          <w:bCs/>
          <w:sz w:val="23"/>
          <w:szCs w:val="23"/>
        </w:rPr>
        <w:t>深入理解森林</w:t>
      </w:r>
      <w:r w:rsidRPr="00666AA0">
        <w:rPr>
          <w:rFonts w:ascii="黑体" w:eastAsia="黑体" w:hAnsiTheme="minorEastAsia"/>
          <w:b/>
          <w:bCs/>
          <w:sz w:val="23"/>
          <w:szCs w:val="23"/>
        </w:rPr>
        <w:t>“</w:t>
      </w:r>
      <w:r w:rsidRPr="00666AA0">
        <w:rPr>
          <w:rFonts w:ascii="黑体" w:eastAsia="黑体" w:hAnsiTheme="minorEastAsia"/>
          <w:b/>
          <w:bCs/>
          <w:sz w:val="23"/>
          <w:szCs w:val="23"/>
        </w:rPr>
        <w:t>四库</w:t>
      </w:r>
      <w:r w:rsidRPr="00666AA0">
        <w:rPr>
          <w:rFonts w:ascii="黑体" w:eastAsia="黑体" w:hAnsiTheme="minorEastAsia"/>
          <w:b/>
          <w:bCs/>
          <w:sz w:val="23"/>
          <w:szCs w:val="23"/>
        </w:rPr>
        <w:t>”</w:t>
      </w:r>
      <w:r w:rsidRPr="00666AA0">
        <w:rPr>
          <w:rFonts w:ascii="黑体" w:eastAsia="黑体" w:hAnsiTheme="minorEastAsia"/>
          <w:b/>
          <w:bCs/>
          <w:sz w:val="23"/>
          <w:szCs w:val="23"/>
        </w:rPr>
        <w:t xml:space="preserve"> 精准提升森林质量</w:t>
      </w:r>
    </w:p>
    <w:p w:rsidR="00477600" w:rsidRDefault="000B153B">
      <w:pPr>
        <w:spacing w:line="340" w:lineRule="exact"/>
        <w:jc w:val="left"/>
        <w:rPr>
          <w:rFonts w:ascii="黑体" w:eastAsia="黑体" w:hAnsiTheme="minorEastAsia" w:cs="宋体"/>
          <w:b/>
          <w:color w:val="4F6228" w:themeColor="accent3" w:themeShade="80"/>
          <w:kern w:val="0"/>
          <w:sz w:val="24"/>
          <w:szCs w:val="24"/>
        </w:rPr>
      </w:pPr>
      <w:r w:rsidRPr="000B153B">
        <w:rPr>
          <w:rFonts w:asciiTheme="minorEastAsia" w:eastAsia="宋体" w:hAnsiTheme="minorEastAsia"/>
          <w:b/>
          <w:sz w:val="24"/>
          <w:szCs w:val="24"/>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3.75pt;margin-top:1.9pt;width:89.85pt;height:47.4pt;z-index:251660288">
            <v:textbox style="mso-next-textbox:#_x0000_s2054">
              <w:txbxContent>
                <w:p w:rsidR="00815989" w:rsidRDefault="00EA0B99">
                  <w:pPr>
                    <w:rPr>
                      <w:b/>
                      <w:color w:val="984806" w:themeColor="accent6" w:themeShade="80"/>
                      <w:sz w:val="32"/>
                      <w:szCs w:val="32"/>
                    </w:rPr>
                  </w:pPr>
                  <w:r>
                    <w:rPr>
                      <w:rFonts w:hint="eastAsia"/>
                      <w:b/>
                      <w:color w:val="984806" w:themeColor="accent6" w:themeShade="80"/>
                      <w:sz w:val="32"/>
                      <w:szCs w:val="32"/>
                    </w:rPr>
                    <w:t>行业动态</w:t>
                  </w:r>
                </w:p>
                <w:p w:rsidR="00815989" w:rsidRDefault="00815989">
                  <w:pPr>
                    <w:rPr>
                      <w:b/>
                      <w:color w:val="984806" w:themeColor="accent6" w:themeShade="80"/>
                      <w:sz w:val="32"/>
                      <w:szCs w:val="32"/>
                    </w:rPr>
                  </w:pPr>
                </w:p>
                <w:p w:rsidR="00815989" w:rsidRDefault="00815989">
                  <w:pPr>
                    <w:rPr>
                      <w:b/>
                      <w:color w:val="984806" w:themeColor="accent6" w:themeShade="80"/>
                      <w:sz w:val="32"/>
                      <w:szCs w:val="32"/>
                    </w:rPr>
                  </w:pPr>
                </w:p>
                <w:p w:rsidR="00815989" w:rsidRDefault="00815989">
                  <w:pPr>
                    <w:rPr>
                      <w:b/>
                      <w:color w:val="984806" w:themeColor="accent6" w:themeShade="80"/>
                      <w:sz w:val="32"/>
                      <w:szCs w:val="32"/>
                    </w:rPr>
                  </w:pPr>
                </w:p>
                <w:p w:rsidR="00815989" w:rsidRDefault="00815989">
                  <w:pPr>
                    <w:rPr>
                      <w:b/>
                      <w:color w:val="984806" w:themeColor="accent6" w:themeShade="80"/>
                      <w:sz w:val="32"/>
                      <w:szCs w:val="32"/>
                    </w:rPr>
                  </w:pPr>
                </w:p>
                <w:p w:rsidR="00815989" w:rsidRDefault="00815989">
                  <w:pPr>
                    <w:rPr>
                      <w:b/>
                      <w:color w:val="984806" w:themeColor="accent6" w:themeShade="80"/>
                      <w:sz w:val="32"/>
                      <w:szCs w:val="32"/>
                    </w:rPr>
                  </w:pPr>
                </w:p>
                <w:p w:rsidR="00815989" w:rsidRDefault="00815989">
                  <w:pPr>
                    <w:rPr>
                      <w:b/>
                      <w:sz w:val="28"/>
                      <w:szCs w:val="28"/>
                    </w:rPr>
                  </w:pPr>
                </w:p>
              </w:txbxContent>
            </v:textbox>
          </v:shape>
        </w:pict>
      </w:r>
    </w:p>
    <w:p w:rsidR="00815989" w:rsidRDefault="00815989">
      <w:pPr>
        <w:spacing w:line="340" w:lineRule="exact"/>
        <w:jc w:val="left"/>
        <w:rPr>
          <w:rFonts w:ascii="黑体" w:eastAsia="黑体" w:hAnsi="黑体"/>
          <w:b/>
          <w:sz w:val="24"/>
          <w:szCs w:val="24"/>
        </w:rPr>
      </w:pPr>
    </w:p>
    <w:p w:rsidR="009A070D" w:rsidRDefault="009A070D" w:rsidP="00F71C39">
      <w:pPr>
        <w:spacing w:line="400" w:lineRule="exact"/>
        <w:jc w:val="center"/>
        <w:rPr>
          <w:rFonts w:ascii="黑体" w:eastAsia="黑体" w:hAnsi="黑体" w:cs="宋体"/>
          <w:b/>
          <w:color w:val="4F6228" w:themeColor="accent3" w:themeShade="80"/>
          <w:kern w:val="0"/>
          <w:sz w:val="30"/>
          <w:szCs w:val="30"/>
        </w:rPr>
      </w:pPr>
      <w:bookmarkStart w:id="0" w:name="_GoBack"/>
    </w:p>
    <w:p w:rsidR="00F71C39" w:rsidRPr="00F71C39" w:rsidRDefault="00F71C39" w:rsidP="00C35B45">
      <w:pPr>
        <w:spacing w:afterLines="50" w:line="400" w:lineRule="exact"/>
        <w:jc w:val="center"/>
        <w:rPr>
          <w:rFonts w:ascii="黑体" w:eastAsia="黑体" w:hAnsi="黑体"/>
          <w:b/>
          <w:sz w:val="24"/>
          <w:szCs w:val="24"/>
        </w:rPr>
      </w:pPr>
      <w:r w:rsidRPr="00F71C39">
        <w:rPr>
          <w:rFonts w:ascii="黑体" w:eastAsia="黑体" w:hAnsi="黑体" w:cs="宋体"/>
          <w:b/>
          <w:color w:val="4F6228" w:themeColor="accent3" w:themeShade="80"/>
          <w:kern w:val="0"/>
          <w:sz w:val="30"/>
          <w:szCs w:val="30"/>
        </w:rPr>
        <w:t>世界生物圈保护区成员增至738个</w:t>
      </w:r>
    </w:p>
    <w:p w:rsidR="00F71C39" w:rsidRPr="00C35B45" w:rsidRDefault="00F71C39" w:rsidP="00F71C39">
      <w:pPr>
        <w:spacing w:line="390" w:lineRule="exact"/>
        <w:ind w:firstLineChars="200" w:firstLine="480"/>
        <w:rPr>
          <w:rFonts w:ascii="华文仿宋" w:eastAsia="华文仿宋" w:hAnsi="华文仿宋" w:cs="宋体"/>
          <w:b/>
          <w:sz w:val="24"/>
          <w:szCs w:val="24"/>
          <w:shd w:val="clear" w:color="auto" w:fill="FFFFFF"/>
        </w:rPr>
      </w:pPr>
      <w:r w:rsidRPr="00DD0CD9">
        <w:rPr>
          <w:rFonts w:ascii="华文仿宋" w:eastAsia="华文仿宋" w:hAnsi="华文仿宋" w:cs="宋体"/>
          <w:b/>
          <w:sz w:val="24"/>
          <w:szCs w:val="24"/>
          <w:shd w:val="clear" w:color="auto" w:fill="FFFFFF"/>
        </w:rPr>
        <w:t>近日，联合国教科文组织“人与生物圈”计划（MAB）宣布在 9个国家增设11个保护区，其中，乍得、格鲁吉亚和赞比亚首次拥有了各自的生物圈保护区，西班牙原有的2个保护区面积得到扩展。</w:t>
      </w:r>
    </w:p>
    <w:p w:rsidR="00F71C39" w:rsidRPr="00C35B45" w:rsidRDefault="00F71C39" w:rsidP="00C35B45">
      <w:pPr>
        <w:spacing w:line="390" w:lineRule="exact"/>
        <w:ind w:firstLineChars="200" w:firstLine="480"/>
        <w:rPr>
          <w:rFonts w:ascii="华文仿宋" w:eastAsia="华文仿宋" w:hAnsi="华文仿宋" w:cs="宋体"/>
          <w:b/>
          <w:sz w:val="24"/>
          <w:szCs w:val="24"/>
          <w:shd w:val="clear" w:color="auto" w:fill="FFFFFF"/>
        </w:rPr>
      </w:pPr>
      <w:r w:rsidRPr="00DD0CD9">
        <w:rPr>
          <w:rFonts w:ascii="华文仿宋" w:eastAsia="华文仿宋" w:hAnsi="华文仿宋" w:cs="宋体"/>
          <w:b/>
          <w:sz w:val="24"/>
          <w:szCs w:val="24"/>
          <w:shd w:val="clear" w:color="auto" w:fill="FFFFFF"/>
        </w:rPr>
        <w:t>目前，世界生物圈保护区网络成员增至738个，分布在134个国家和地区。</w:t>
      </w:r>
      <w:r w:rsidR="00D37BE7">
        <w:rPr>
          <w:rFonts w:ascii="华文仿宋" w:eastAsia="华文仿宋" w:hAnsi="华文仿宋" w:cs="宋体" w:hint="eastAsia"/>
          <w:b/>
          <w:sz w:val="24"/>
          <w:szCs w:val="24"/>
          <w:shd w:val="clear" w:color="auto" w:fill="FFFFFF"/>
        </w:rPr>
        <w:t>（</w:t>
      </w:r>
      <w:r w:rsidR="00D37BE7" w:rsidRPr="00C35B45">
        <w:rPr>
          <w:rFonts w:ascii="华文仿宋" w:eastAsia="华文仿宋" w:hAnsi="华文仿宋" w:cs="宋体" w:hint="eastAsia"/>
          <w:b/>
          <w:sz w:val="24"/>
          <w:szCs w:val="24"/>
          <w:shd w:val="clear" w:color="auto" w:fill="FFFFFF"/>
        </w:rPr>
        <w:t>截止到2018年7月，我国已有长白山、卧龙等34个自然保护区，被批准为世界生物圈保护区网络成员）。</w:t>
      </w:r>
      <w:r w:rsidRPr="00DD0CD9">
        <w:rPr>
          <w:rFonts w:ascii="华文仿宋" w:eastAsia="华文仿宋" w:hAnsi="华文仿宋" w:cs="宋体"/>
          <w:b/>
          <w:sz w:val="24"/>
          <w:szCs w:val="24"/>
          <w:shd w:val="clear" w:color="auto" w:fill="FFFFFF"/>
        </w:rPr>
        <w:t>联合国教科文组织总干事阿祖莱表示，51年来，教科文组织通过“人与生物圈”计划，力求协调人类活动与生物多样性的保护和可持续利用。现在，生物圈保护区网络在全世界的保护区域面积达到130万平方公里。</w:t>
      </w:r>
    </w:p>
    <w:p w:rsidR="00F71C39" w:rsidRPr="00C35B45" w:rsidRDefault="00F71C39" w:rsidP="00F71C39">
      <w:pPr>
        <w:spacing w:line="390" w:lineRule="exact"/>
        <w:ind w:firstLineChars="200" w:firstLine="480"/>
        <w:rPr>
          <w:rFonts w:ascii="华文仿宋" w:eastAsia="华文仿宋" w:hAnsi="华文仿宋" w:cs="宋体"/>
          <w:b/>
          <w:sz w:val="24"/>
          <w:szCs w:val="24"/>
          <w:shd w:val="clear" w:color="auto" w:fill="FFFFFF"/>
        </w:rPr>
      </w:pPr>
      <w:r w:rsidRPr="00DD0CD9">
        <w:rPr>
          <w:rFonts w:ascii="华文仿宋" w:eastAsia="华文仿宋" w:hAnsi="华文仿宋" w:cs="宋体"/>
          <w:b/>
          <w:sz w:val="24"/>
          <w:szCs w:val="24"/>
          <w:shd w:val="clear" w:color="auto" w:fill="FFFFFF"/>
        </w:rPr>
        <w:t>生物圈保护区是由所在国设立、由联合国教科文组织“人与生物圈”计划认定的特定场所，旨在基于当地社区努力和充分科学依据的基础上，促进可持续发展。它通过人与自然之间形成的伙伴关系，调解生物多样性和文化多样性保护与社会经济发展之间的矛盾。</w:t>
      </w:r>
    </w:p>
    <w:p w:rsidR="00F71C39" w:rsidRPr="00C35B45" w:rsidRDefault="00F71C39" w:rsidP="00F71C39">
      <w:pPr>
        <w:spacing w:line="390" w:lineRule="exact"/>
        <w:ind w:firstLineChars="200" w:firstLine="480"/>
        <w:rPr>
          <w:rFonts w:ascii="华文仿宋" w:eastAsia="华文仿宋" w:hAnsi="华文仿宋" w:cs="宋体"/>
          <w:b/>
          <w:sz w:val="24"/>
          <w:szCs w:val="24"/>
          <w:shd w:val="clear" w:color="auto" w:fill="FFFFFF"/>
        </w:rPr>
      </w:pPr>
      <w:r w:rsidRPr="00DD0CD9">
        <w:rPr>
          <w:rFonts w:ascii="华文仿宋" w:eastAsia="华文仿宋" w:hAnsi="华文仿宋" w:cs="宋体"/>
          <w:b/>
          <w:sz w:val="24"/>
          <w:szCs w:val="24"/>
          <w:shd w:val="clear" w:color="auto" w:fill="FFFFFF"/>
        </w:rPr>
        <w:t>生物圈保护区可看做是管理自然和人类活动的新的、最佳的实践获得检验和示范的优良场所，也是辅助各国执行《生物多样性公约》及其生态系统途径的工具。</w:t>
      </w:r>
    </w:p>
    <w:p w:rsidR="00F71C39" w:rsidRPr="00DD0CD9" w:rsidRDefault="00F71C39" w:rsidP="00F71C39">
      <w:pPr>
        <w:spacing w:line="390" w:lineRule="exact"/>
        <w:ind w:firstLineChars="200" w:firstLine="480"/>
        <w:rPr>
          <w:rFonts w:ascii="华文仿宋" w:eastAsia="华文仿宋" w:hAnsi="华文仿宋" w:cs="宋体"/>
          <w:b/>
          <w:sz w:val="24"/>
          <w:szCs w:val="24"/>
          <w:shd w:val="clear" w:color="auto" w:fill="FFFFFF"/>
        </w:rPr>
      </w:pPr>
      <w:r w:rsidRPr="00DD0CD9">
        <w:rPr>
          <w:rFonts w:ascii="华文仿宋" w:eastAsia="华文仿宋" w:hAnsi="华文仿宋" w:cs="宋体"/>
          <w:b/>
          <w:sz w:val="24"/>
          <w:szCs w:val="24"/>
          <w:shd w:val="clear" w:color="auto" w:fill="FFFFFF"/>
        </w:rPr>
        <w:t>生物圈保护区获得认定后，依旧由所在国管辖。在世界生物圈保护区网络内，各保护区之间可以在国内、区域内、世界范围内分享各自的经验和理念。</w:t>
      </w:r>
    </w:p>
    <w:p w:rsidR="00F71C39" w:rsidRPr="00DD0CD9" w:rsidRDefault="00F71C39" w:rsidP="00C35B45">
      <w:pPr>
        <w:spacing w:beforeLines="60" w:afterLines="60" w:line="390" w:lineRule="exact"/>
        <w:jc w:val="center"/>
        <w:rPr>
          <w:rFonts w:ascii="华文仿宋" w:eastAsia="华文仿宋" w:hAnsi="华文仿宋" w:cs="黑体"/>
          <w:b/>
          <w:color w:val="76923C" w:themeColor="accent3" w:themeShade="BF"/>
          <w:sz w:val="24"/>
          <w:szCs w:val="24"/>
          <w:shd w:val="clear" w:color="auto" w:fill="FFFFFF"/>
        </w:rPr>
      </w:pPr>
      <w:r w:rsidRPr="00F71C39">
        <w:rPr>
          <w:rFonts w:ascii="黑体" w:eastAsia="黑体" w:hAnsi="黑体" w:cs="宋体"/>
          <w:b/>
          <w:color w:val="4F6228" w:themeColor="accent3" w:themeShade="80"/>
          <w:kern w:val="0"/>
          <w:sz w:val="30"/>
          <w:szCs w:val="30"/>
        </w:rPr>
        <w:t>国家林草局调度全国林业改革发展综合试点工作</w:t>
      </w:r>
    </w:p>
    <w:p w:rsidR="00F71C39" w:rsidRPr="00DD0CD9" w:rsidRDefault="00F71C39" w:rsidP="00F71C39">
      <w:pPr>
        <w:spacing w:line="390" w:lineRule="exact"/>
        <w:ind w:firstLineChars="200" w:firstLine="480"/>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7月4日，国家林业和草原局召开全国林业改革发展综合试点工作调度会，强调要立足新形势、新任务、新变化，积极有序推进林业改革发展综合试点工作，确保如期完成各项试点任务。</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会议指出，国家林草局确定山西省晋城市、吉林省通化市、安徽省宣城市、福建省三明市、江西省抚州市、四川省成都市为全国林业改革发展综合试点市以来，各试点地区切实加强组织领导，精心编制实施方案，扎实抓好任务落实，全面强化政策保障，及时总结提炼典型经验，林业改革发展综合试点工作有章有法、路径清晰、特色鲜明、亮点频现，已取得阶段性成果。</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会议强调，各试点地区要坚持守正创新，改革无论怎么改，都不能改变集体林地所有权，不能破坏森林资源和生态环境，不能损害农民利益。要坚持以人民为中心，充分尊重群众首创精神，有效解决林农“急难愁盼”的突出问题，创新和推广绿色发展模式，着重提高林地经济效益，确保林农多得实惠。要坚持市场和政府双轮驱动，培育市场主体，激发市场活力，政府要积极有为，完善制度安排，出台政策举措，强化管理服务。要坚持有力有序，加大创新力度，全力破解体制性障碍、机制性梗阻，</w:t>
      </w:r>
      <w:r w:rsidRPr="00DD0CD9">
        <w:rPr>
          <w:rFonts w:ascii="华文仿宋" w:eastAsia="华文仿宋" w:hAnsi="华文仿宋" w:cs="宋体"/>
          <w:b/>
          <w:color w:val="000000"/>
          <w:sz w:val="24"/>
          <w:szCs w:val="24"/>
          <w:shd w:val="clear" w:color="auto" w:fill="FFFFFF"/>
        </w:rPr>
        <w:lastRenderedPageBreak/>
        <w:t>强化风险意识和底线思维，分阶段滚动式边试点、边总结、边推广。</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会议要求，要以综合试点引领全国集体林权制度改革不断深化，围绕国家所需、林农所盼，聚焦推进“三权分置”、推动规模经营、加强森林经营、支持林业产业发展、创新生态产品价值实现机制、发挥林权金融功能、强化林业管理服务等重点任务，积极开展先行先试，深入探索改革的实现路径和实现形式，为面上改革提供可复制可推广的经验做法。</w:t>
      </w:r>
    </w:p>
    <w:p w:rsidR="00F71C39" w:rsidRPr="00DD0CD9" w:rsidRDefault="00F71C39" w:rsidP="00C35B45">
      <w:pPr>
        <w:spacing w:beforeLines="60" w:afterLines="60" w:line="390" w:lineRule="exact"/>
        <w:jc w:val="center"/>
        <w:rPr>
          <w:rFonts w:ascii="华文仿宋" w:eastAsia="华文仿宋" w:hAnsi="华文仿宋" w:cs="黑体"/>
          <w:b/>
          <w:color w:val="76923C" w:themeColor="accent3" w:themeShade="BF"/>
          <w:sz w:val="24"/>
          <w:szCs w:val="24"/>
          <w:shd w:val="clear" w:color="auto" w:fill="FFFFFF"/>
        </w:rPr>
      </w:pPr>
      <w:r w:rsidRPr="00F71C39">
        <w:rPr>
          <w:rFonts w:ascii="黑体" w:eastAsia="黑体" w:hAnsi="黑体" w:cs="宋体"/>
          <w:b/>
          <w:color w:val="4F6228" w:themeColor="accent3" w:themeShade="80"/>
          <w:kern w:val="0"/>
          <w:sz w:val="30"/>
          <w:szCs w:val="30"/>
        </w:rPr>
        <w:t>我国全面建立林长制目标如期实现</w:t>
      </w:r>
    </w:p>
    <w:p w:rsidR="00F71C39" w:rsidRPr="00DD0CD9" w:rsidRDefault="00F71C39" w:rsidP="00F71C39">
      <w:pPr>
        <w:spacing w:line="390" w:lineRule="exact"/>
        <w:ind w:firstLineChars="200" w:firstLine="480"/>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中共中央办公厅、国务院办公厅《关于全面推行林长制的意见》印发以来，国家林业和草原局积极贯彻落实《意见》精神，印发贯彻落实《意见》的实施方案，相继出台林长制督查考核办法、激励措施实施办法，全面加强指导，《意见》要求的“确保到2022年6月全面建立林长制”目标如期实现。</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全国各省（区、市）和新疆生产建设兵团聚焦森林草原资源保护发展重点，推进林长制改革，基本建立上下衔接、职责明确的组织体系和责任体系，逐步形成保障有力、运行有效的制度体系。</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组织体系全面建立。除直辖市和新疆生产建设兵团外，其余省（区）均设立了省、市、县、乡、村五级林长，各级林长近120万名，其中省级林长421名。各省（区、市）均由党委和政府主要负责同志担任总林长，实行“双挂帅”。</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责任体系初步建立。各地积极构建以党政主要领导负责制为核心的责任体系，逐步形成一级抓一级、层层抓落实的工作格局。各级林长实行划片分区负责，重点研究解决森林草原生态建设重大问题，协调推动林草部门难以落实的重大事项。</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制度体系基本建立。各地均根据实际情况，印发实施文件，出台林长会议、信息公开、部门协作、工作督查等4项制度，创新建立总林长令、林长巡林、“林长+”工作机制。安徽、江西两省率先颁布实施省级林长制条例。</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各地坚持系统治理、源头治理、综合施策，建立健全制度体系和工作机制，推动形成林长主动履职、林长办统筹协调、部门横向联动、社会广泛参与的工作新格局，森林草原保护发展工作取得新突破。</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目前，全国已有25个省（区、市）召开省级总林长会议，21个省（区、市）签发总林长令，省级林长巡林214次。各省份均建立联席会议制度，13个省（区、市）建立“林长+检察长”协作机制，10个省（区、市）全面推行林区警长制，8个省（市）建立“林长+检察长+警长”工作机制。各地积极构建林草资源网格化管理体系，在配备工作力量、落实经费保障、建设智慧管理平台、出台配套政策等方面多向发力，已有28个省（区、市）出台林长制督查考核办法，19个省（区、市）开展督查考核。</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通过推行林长制，各地资源保护发展新机制初步建立，林草重点工作任务实现提质增效。</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森林草原资源管理不断强化。首次开展林草生态综合监测评价，为林草资源保护</w:t>
      </w:r>
      <w:r w:rsidRPr="00DD0CD9">
        <w:rPr>
          <w:rFonts w:ascii="华文仿宋" w:eastAsia="华文仿宋" w:hAnsi="华文仿宋" w:cs="宋体"/>
          <w:b/>
          <w:color w:val="000000"/>
          <w:sz w:val="24"/>
          <w:szCs w:val="24"/>
          <w:shd w:val="clear" w:color="auto" w:fill="FFFFFF"/>
        </w:rPr>
        <w:lastRenderedPageBreak/>
        <w:t>发展提供信息支撑。持续开展森林督查，打击违法犯罪行为。2021年，全国林草行政案件发生数量同比下降21%。2022年上半年，全国回收林地同比上升26.62%。</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科学绿化迈出重要步伐。2021年，完成造林5400万亩、种草改良草原4600万亩，治理沙化、石漠化土地2160万亩，首次实行造林任务直达到县落地上图。2022年1—6月，全国造林绿化、种草改良和沙化土地治理任务分别完成82.9%、55%和50%。</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野生动植物保护管理不断强化。国家植物园、华南国家植物园正式运行，推动国家植物园体系建设。全面加强野生动植物保护，开展“清风”“网剑”等行动，严厉打击野生动物及其制品非法交易行为。</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国家公园建设取得重要进展。编制《国家公园空间布局方案》并上报国务院，扎实推进第一批5个国家公园建设，开展新一批创建，加快推进国家公园立法进程。</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森林草原灾害防控能力持续加强。2021年，松材线虫病发生面积、病死树数量分别下降5.12%、27.69%；全国森林火灾次数、受害森林面积、因灾伤亡人数同比分别下降47%、50%、32%。</w:t>
      </w:r>
    </w:p>
    <w:p w:rsidR="00F71C39" w:rsidRPr="00DD0CD9" w:rsidRDefault="00F71C39" w:rsidP="00F71C39">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国家林草局相关负责人表示，国家林草局将持续贯彻落实《意见》精神，不断完善林长制制度体系，科学开展督查考核激励，强化森林草原保护管理，全面提升森林草原质量和生态系统稳定性，为建设美丽中国、守住自然生态安全作出新的更大贡献。</w:t>
      </w:r>
    </w:p>
    <w:p w:rsidR="00F71C39" w:rsidRPr="00DD0CD9" w:rsidRDefault="00F71C39" w:rsidP="00C35B45">
      <w:pPr>
        <w:pStyle w:val="2"/>
        <w:shd w:val="clear" w:color="auto" w:fill="FFFFFF"/>
        <w:spacing w:beforeLines="60" w:beforeAutospacing="0" w:afterLines="60" w:afterAutospacing="0" w:line="390" w:lineRule="exact"/>
        <w:jc w:val="center"/>
        <w:rPr>
          <w:rFonts w:ascii="华文仿宋" w:eastAsia="华文仿宋" w:hAnsi="华文仿宋"/>
          <w:color w:val="76923C" w:themeColor="accent3" w:themeShade="BF"/>
        </w:rPr>
      </w:pPr>
      <w:r w:rsidRPr="00F71C39">
        <w:rPr>
          <w:rFonts w:ascii="黑体" w:eastAsia="黑体" w:hAnsi="黑体" w:hint="eastAsia"/>
          <w:b/>
          <w:color w:val="4F6228" w:themeColor="accent3" w:themeShade="80"/>
          <w:sz w:val="30"/>
          <w:szCs w:val="30"/>
        </w:rPr>
        <w:t>三北五期工程取得巨大生态经济社会效益</w:t>
      </w:r>
    </w:p>
    <w:p w:rsidR="00F71C39" w:rsidRPr="00DD0CD9" w:rsidRDefault="00F71C39" w:rsidP="00F71C39">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DD0CD9">
        <w:rPr>
          <w:rFonts w:ascii="华文仿宋" w:eastAsia="华文仿宋" w:hAnsi="华文仿宋" w:hint="eastAsia"/>
          <w:b/>
          <w:color w:val="000000"/>
        </w:rPr>
        <w:t>近期，国家林业和草原局对2011—2020年实施的三北防护林体系建设五期工程情况进行了全面评估。结果显示，三北五期工程建设实现数量和质量并重、重点突出和规模推进并举、造林和经营并重、人工措施和自然修复相结合、山上治本和身边增绿并重，取得了巨大的生态、经济和社会效益。</w:t>
      </w:r>
    </w:p>
    <w:p w:rsidR="00F71C39" w:rsidRPr="00DD0CD9" w:rsidRDefault="00F71C39" w:rsidP="00F71C39">
      <w:pPr>
        <w:pStyle w:val="a7"/>
        <w:shd w:val="clear" w:color="auto" w:fill="FFFFFF"/>
        <w:spacing w:before="0" w:beforeAutospacing="0" w:after="0" w:afterAutospacing="0" w:line="390" w:lineRule="exact"/>
        <w:jc w:val="both"/>
        <w:rPr>
          <w:rFonts w:ascii="华文仿宋" w:eastAsia="华文仿宋" w:hAnsi="华文仿宋"/>
          <w:b/>
          <w:color w:val="000000"/>
        </w:rPr>
      </w:pPr>
      <w:r w:rsidRPr="00DD0CD9">
        <w:rPr>
          <w:rFonts w:ascii="华文仿宋" w:eastAsia="华文仿宋" w:hAnsi="华文仿宋" w:hint="eastAsia"/>
          <w:b/>
          <w:color w:val="000000"/>
        </w:rPr>
        <w:t xml:space="preserve">　　——生态效益方面。截至2020年底，五期工程累计完成营造林保存面积527.12万公顷。工程区森林覆盖率由四期末的12.40%增至五期末的13.84%，黄土高原、毛乌素沙地、科尔沁沙地和呼伦贝尔沙地等重点区域生态治理进程明显加快。累计前四期工程建设成效，工程区45%以上可治理沙化土地面积得到初步治理，45.59%以上的农田实现林网化，61%以上水土流失面积得到有效控制。</w:t>
      </w:r>
    </w:p>
    <w:p w:rsidR="00F71C39" w:rsidRPr="00DD0CD9" w:rsidRDefault="00F71C39" w:rsidP="00F71C39">
      <w:pPr>
        <w:pStyle w:val="a7"/>
        <w:shd w:val="clear" w:color="auto" w:fill="FFFFFF"/>
        <w:spacing w:before="0" w:beforeAutospacing="0" w:after="0" w:afterAutospacing="0" w:line="390" w:lineRule="exact"/>
        <w:jc w:val="both"/>
        <w:rPr>
          <w:rFonts w:ascii="华文仿宋" w:eastAsia="华文仿宋" w:hAnsi="华文仿宋"/>
          <w:b/>
          <w:color w:val="000000"/>
        </w:rPr>
      </w:pPr>
      <w:r w:rsidRPr="00DD0CD9">
        <w:rPr>
          <w:rFonts w:ascii="华文仿宋" w:eastAsia="华文仿宋" w:hAnsi="华文仿宋" w:hint="eastAsia"/>
          <w:b/>
          <w:color w:val="000000"/>
        </w:rPr>
        <w:t xml:space="preserve">　　——经济效益方面。五期工程营造的经济林保存面积约26万公顷，年产干鲜果品约340万吨，年总产值达40.8亿元。经测算，五期工程完成的营造林每年产生的生态效益总值达964.55亿元。截至五期工程末，帮助1500万农民脱贫，脱贫贡献率达27%，三北地区森林旅游年接待游客3.85亿人次，旅游直接收入达480亿元。</w:t>
      </w:r>
    </w:p>
    <w:p w:rsidR="00F71C39" w:rsidRPr="00DD0CD9" w:rsidRDefault="00F71C39" w:rsidP="00F71C39">
      <w:pPr>
        <w:pStyle w:val="a7"/>
        <w:shd w:val="clear" w:color="auto" w:fill="FFFFFF"/>
        <w:spacing w:before="0" w:beforeAutospacing="0" w:after="0" w:afterAutospacing="0" w:line="390" w:lineRule="exact"/>
        <w:jc w:val="both"/>
        <w:rPr>
          <w:rFonts w:ascii="华文仿宋" w:eastAsia="华文仿宋" w:hAnsi="华文仿宋"/>
          <w:b/>
          <w:color w:val="000000"/>
        </w:rPr>
      </w:pPr>
      <w:r w:rsidRPr="00DD0CD9">
        <w:rPr>
          <w:rFonts w:ascii="华文仿宋" w:eastAsia="华文仿宋" w:hAnsi="华文仿宋" w:hint="eastAsia"/>
          <w:b/>
          <w:color w:val="000000"/>
        </w:rPr>
        <w:t xml:space="preserve">　　——社会效益方面。据全国森林资源第九次清查结果，三北工程区人均森林面积达0.26公顷。在工程建设中，涌现出一大批英模人物和绿色发展典型，铸就了以“艰苦奋斗、无私奉献，锲而不舍、久久为功”为核心的“三北精神”。2018年，三北工程获“联合国森林战略规划优秀实践奖”。</w:t>
      </w:r>
    </w:p>
    <w:p w:rsidR="00F71C39" w:rsidRPr="00DD0CD9" w:rsidRDefault="00F71C39" w:rsidP="00F71C39">
      <w:pPr>
        <w:pStyle w:val="a7"/>
        <w:shd w:val="clear" w:color="auto" w:fill="FFFFFF"/>
        <w:spacing w:before="0" w:beforeAutospacing="0" w:after="0" w:afterAutospacing="0" w:line="390" w:lineRule="exact"/>
        <w:jc w:val="both"/>
        <w:rPr>
          <w:rFonts w:ascii="华文仿宋" w:eastAsia="华文仿宋" w:hAnsi="华文仿宋"/>
          <w:b/>
          <w:color w:val="000000"/>
        </w:rPr>
      </w:pPr>
      <w:r w:rsidRPr="00DD0CD9">
        <w:rPr>
          <w:rFonts w:ascii="华文仿宋" w:eastAsia="华文仿宋" w:hAnsi="华文仿宋" w:hint="eastAsia"/>
          <w:b/>
          <w:color w:val="000000"/>
        </w:rPr>
        <w:lastRenderedPageBreak/>
        <w:t xml:space="preserve">　　与前四期工程相比，五期工程的建设理念更加注自然修复，封山（沙）育林占工程任务的52.12%，是四期工程的2.8倍；建设内容更加注重数量与质量并重，将退化林修复纳入建设，共完成退化林修复50.36万公顷；建设布局更加注重合理分区、精准施策，建设重心逐步向西部地区倾斜，合理规划布局东北华北平原农区、风沙区、黄土高原丘陵沟壑区、西北荒漠区4个建设区域。同时大力推进重点项目建设，先后启动实施了15个百万亩防护林基地和2个规模化林场、33个黄土高原综合治理林业示范县建设、30个精准治沙县和退化林修复等重点项目，重点项目完成营造林面积占工程完成营造林总面积的42.04%。</w:t>
      </w:r>
    </w:p>
    <w:p w:rsidR="00F71C39" w:rsidRPr="00DD0CD9" w:rsidRDefault="00F71C39" w:rsidP="00F71C39">
      <w:pPr>
        <w:pStyle w:val="a7"/>
        <w:shd w:val="clear" w:color="auto" w:fill="FFFFFF"/>
        <w:spacing w:before="0" w:beforeAutospacing="0" w:after="0" w:afterAutospacing="0" w:line="390" w:lineRule="exact"/>
        <w:jc w:val="both"/>
        <w:rPr>
          <w:rFonts w:ascii="华文仿宋" w:eastAsia="华文仿宋" w:hAnsi="华文仿宋"/>
          <w:b/>
          <w:color w:val="000000"/>
        </w:rPr>
      </w:pPr>
      <w:r w:rsidRPr="00DD0CD9">
        <w:rPr>
          <w:rFonts w:ascii="华文仿宋" w:eastAsia="华文仿宋" w:hAnsi="华文仿宋" w:hint="eastAsia"/>
          <w:b/>
          <w:color w:val="000000"/>
        </w:rPr>
        <w:t xml:space="preserve">　　2021—2030年是三北工程六期工程建设期。六期工程将以巩固和发展祖国北疆绿色生态屏障为目标，以提升林草资源总量和质量为主攻方向，以服务国家重大战略为要务，集中建设一批有特色、上规模、高质量的示范项目，形成林草区域性系统治理、规模化治理、科学绿化、质量精准提升的三北工程高质量发展样板。</w:t>
      </w:r>
    </w:p>
    <w:p w:rsidR="001671AA" w:rsidRPr="001671AA" w:rsidRDefault="000B153B" w:rsidP="001671AA">
      <w:pPr>
        <w:widowControl/>
        <w:shd w:val="clear" w:color="auto" w:fill="FFFFFF"/>
        <w:spacing w:line="390" w:lineRule="exact"/>
        <w:ind w:firstLine="420"/>
        <w:rPr>
          <w:rFonts w:ascii="华文仿宋" w:eastAsia="华文仿宋" w:hAnsi="华文仿宋" w:cs="仿宋"/>
          <w:b/>
          <w:kern w:val="0"/>
          <w:sz w:val="24"/>
          <w:szCs w:val="24"/>
          <w:shd w:val="clear" w:color="auto" w:fill="FFFFFF"/>
        </w:rPr>
      </w:pPr>
      <w:r w:rsidRPr="000B153B">
        <w:rPr>
          <w:rFonts w:ascii="仿宋_GB2312" w:eastAsia="仿宋_GB2312" w:hAnsi="仿宋"/>
          <w:b/>
          <w:bCs/>
          <w:color w:val="000000"/>
        </w:rPr>
        <w:pict>
          <v:shape id="_x0000_s2078" type="#_x0000_t98" style="position:absolute;left:0;text-align:left;margin-left:.15pt;margin-top:11.4pt;width:91.5pt;height:49.2pt;z-index:251662336">
            <v:textbox style="mso-next-textbox:#_x0000_s2078">
              <w:txbxContent>
                <w:p w:rsidR="00815989" w:rsidRDefault="00EA0B99">
                  <w:pPr>
                    <w:rPr>
                      <w:b/>
                      <w:color w:val="984806" w:themeColor="accent6" w:themeShade="80"/>
                      <w:sz w:val="32"/>
                      <w:szCs w:val="32"/>
                    </w:rPr>
                  </w:pPr>
                  <w:r>
                    <w:rPr>
                      <w:rFonts w:hint="eastAsia"/>
                      <w:b/>
                      <w:color w:val="984806" w:themeColor="accent6" w:themeShade="80"/>
                      <w:sz w:val="32"/>
                      <w:szCs w:val="32"/>
                    </w:rPr>
                    <w:t>科技资讯</w:t>
                  </w:r>
                </w:p>
              </w:txbxContent>
            </v:textbox>
          </v:shape>
        </w:pict>
      </w:r>
    </w:p>
    <w:bookmarkEnd w:id="0"/>
    <w:p w:rsidR="00815989" w:rsidRDefault="00815989" w:rsidP="00D276AF">
      <w:pPr>
        <w:widowControl/>
        <w:shd w:val="clear" w:color="auto" w:fill="FFFFFF"/>
        <w:spacing w:line="380" w:lineRule="exact"/>
        <w:ind w:firstLine="420"/>
        <w:jc w:val="left"/>
        <w:rPr>
          <w:rStyle w:val="h1title"/>
          <w:rFonts w:ascii="黑体" w:eastAsia="黑体" w:hAnsi="黑体"/>
          <w:b/>
          <w:bCs/>
          <w:sz w:val="30"/>
          <w:szCs w:val="30"/>
        </w:rPr>
      </w:pPr>
    </w:p>
    <w:p w:rsidR="00F71C39" w:rsidRDefault="00F71C39" w:rsidP="00C35B45">
      <w:pPr>
        <w:spacing w:beforeLines="50" w:afterLines="50" w:line="390" w:lineRule="exact"/>
        <w:jc w:val="center"/>
        <w:rPr>
          <w:rFonts w:ascii="黑体" w:eastAsia="黑体" w:hAnsi="黑体" w:cs="宋体"/>
          <w:b/>
          <w:color w:val="4F6228" w:themeColor="accent3" w:themeShade="80"/>
          <w:kern w:val="0"/>
          <w:sz w:val="30"/>
          <w:szCs w:val="30"/>
        </w:rPr>
      </w:pPr>
    </w:p>
    <w:p w:rsidR="00F71C39" w:rsidRPr="00DD0CD9" w:rsidRDefault="00F71C39" w:rsidP="00C35B45">
      <w:pPr>
        <w:spacing w:beforeLines="50" w:afterLines="60" w:line="390" w:lineRule="exact"/>
        <w:jc w:val="center"/>
        <w:rPr>
          <w:rFonts w:ascii="华文仿宋" w:eastAsia="华文仿宋" w:hAnsi="华文仿宋" w:cs="黑体"/>
          <w:b/>
          <w:color w:val="76923C" w:themeColor="accent3" w:themeShade="BF"/>
          <w:sz w:val="24"/>
          <w:szCs w:val="24"/>
          <w:shd w:val="clear" w:color="auto" w:fill="FFFFFF"/>
        </w:rPr>
      </w:pPr>
      <w:r w:rsidRPr="00F71C39">
        <w:rPr>
          <w:rFonts w:ascii="黑体" w:eastAsia="黑体" w:hAnsi="黑体" w:cs="宋体"/>
          <w:b/>
          <w:color w:val="4F6228" w:themeColor="accent3" w:themeShade="80"/>
          <w:kern w:val="0"/>
          <w:sz w:val="30"/>
          <w:szCs w:val="30"/>
        </w:rPr>
        <w:t>中国林科院3个沙棘无性系通过国家林木良种审定</w:t>
      </w:r>
    </w:p>
    <w:p w:rsidR="00F71C39" w:rsidRPr="00DD0CD9" w:rsidRDefault="00F71C39" w:rsidP="00F71C39">
      <w:pPr>
        <w:spacing w:line="390" w:lineRule="exact"/>
        <w:ind w:firstLineChars="200" w:firstLine="480"/>
        <w:rPr>
          <w:rFonts w:ascii="华文仿宋" w:eastAsia="华文仿宋" w:hAnsi="华文仿宋" w:cs="Calibri"/>
          <w:b/>
          <w:sz w:val="24"/>
          <w:szCs w:val="24"/>
        </w:rPr>
      </w:pPr>
      <w:r w:rsidRPr="00DD0CD9">
        <w:rPr>
          <w:rFonts w:ascii="华文仿宋" w:eastAsia="华文仿宋" w:hAnsi="华文仿宋" w:cs="宋体"/>
          <w:b/>
          <w:sz w:val="24"/>
          <w:szCs w:val="24"/>
          <w:shd w:val="clear" w:color="auto" w:fill="FFFFFF"/>
        </w:rPr>
        <w:t>日前，由中国林科院林业研究所和沙漠林业实验中心等单位及专家协作选育的“红棘1号”“中棘3号”“中棘4号”3个沙棘杂交无性系通过国家林木良种审定。我国沙棘第三阶段育种取得重大进展。</w:t>
      </w:r>
    </w:p>
    <w:p w:rsidR="00F71C39" w:rsidRPr="00DD0CD9" w:rsidRDefault="00F71C39" w:rsidP="00F71C39">
      <w:pPr>
        <w:spacing w:line="390" w:lineRule="exact"/>
        <w:rPr>
          <w:rFonts w:ascii="华文仿宋" w:eastAsia="华文仿宋" w:hAnsi="华文仿宋" w:cs="Calibri"/>
          <w:b/>
          <w:sz w:val="24"/>
          <w:szCs w:val="24"/>
        </w:rPr>
      </w:pPr>
      <w:r w:rsidRPr="00DD0CD9">
        <w:rPr>
          <w:rFonts w:ascii="华文仿宋" w:eastAsia="华文仿宋" w:hAnsi="华文仿宋" w:cs="宋体"/>
          <w:b/>
          <w:sz w:val="24"/>
          <w:szCs w:val="24"/>
          <w:shd w:val="clear" w:color="auto" w:fill="FFFFFF"/>
        </w:rPr>
        <w:t xml:space="preserve">　　3个沙棘良种是团队历经20余年育种选育而来，由蒙古沙棘亚种与中国沙棘亚种通过远缘杂交产生，均表现出了类似于父本中国沙棘的强生态适应性及与母本蒙古沙棘相近的优良经济性，适宜在我国北纬35°—45°干旱半干旱区域种植。</w:t>
      </w:r>
    </w:p>
    <w:p w:rsidR="00F71C39" w:rsidRPr="00DD0CD9" w:rsidRDefault="00F71C39" w:rsidP="00F71C39">
      <w:pPr>
        <w:spacing w:line="390" w:lineRule="exact"/>
        <w:rPr>
          <w:rFonts w:ascii="华文仿宋" w:eastAsia="华文仿宋" w:hAnsi="华文仿宋" w:cs="宋体"/>
          <w:b/>
          <w:sz w:val="24"/>
          <w:szCs w:val="24"/>
          <w:shd w:val="clear" w:color="auto" w:fill="FFFFFF"/>
        </w:rPr>
      </w:pPr>
      <w:r w:rsidRPr="00DD0CD9">
        <w:rPr>
          <w:rFonts w:ascii="华文仿宋" w:eastAsia="华文仿宋" w:hAnsi="华文仿宋" w:cs="宋体"/>
          <w:b/>
          <w:sz w:val="24"/>
          <w:szCs w:val="24"/>
          <w:shd w:val="clear" w:color="auto" w:fill="FFFFFF"/>
        </w:rPr>
        <w:t xml:space="preserve">　　沙棘属于胡颓子科沙棘属植物，其果实、叶片和种子富含400余种生物活性成分，水土保持和防风固沙效果显著。</w:t>
      </w:r>
    </w:p>
    <w:p w:rsidR="00F71C39" w:rsidRPr="00F71C39" w:rsidRDefault="00F71C39" w:rsidP="00C35B45">
      <w:pPr>
        <w:spacing w:beforeLines="60" w:afterLines="60" w:line="390" w:lineRule="exact"/>
        <w:jc w:val="center"/>
        <w:rPr>
          <w:rFonts w:ascii="黑体" w:eastAsia="黑体" w:hAnsi="黑体" w:cs="宋体"/>
          <w:b/>
          <w:color w:val="4F6228" w:themeColor="accent3" w:themeShade="80"/>
          <w:kern w:val="0"/>
          <w:sz w:val="30"/>
          <w:szCs w:val="30"/>
        </w:rPr>
      </w:pPr>
      <w:r w:rsidRPr="00F71C39">
        <w:rPr>
          <w:rFonts w:ascii="黑体" w:eastAsia="黑体" w:hAnsi="黑体" w:cs="宋体"/>
          <w:b/>
          <w:color w:val="4F6228" w:themeColor="accent3" w:themeShade="80"/>
          <w:kern w:val="0"/>
          <w:sz w:val="30"/>
          <w:szCs w:val="30"/>
        </w:rPr>
        <w:t>科学精准评估退耕还林还草工程生态效益</w:t>
      </w:r>
    </w:p>
    <w:p w:rsidR="00F71C39" w:rsidRPr="00DD0CD9" w:rsidRDefault="00F71C39" w:rsidP="00F71C39">
      <w:pPr>
        <w:spacing w:line="390" w:lineRule="exact"/>
        <w:ind w:firstLineChars="200" w:firstLine="480"/>
        <w:rPr>
          <w:rFonts w:ascii="华文仿宋" w:eastAsia="华文仿宋" w:hAnsi="华文仿宋" w:cs="宋体"/>
          <w:b/>
          <w:sz w:val="24"/>
          <w:szCs w:val="24"/>
        </w:rPr>
      </w:pPr>
      <w:r w:rsidRPr="00DD0CD9">
        <w:rPr>
          <w:rFonts w:ascii="华文仿宋" w:eastAsia="华文仿宋" w:hAnsi="华文仿宋" w:cs="宋体" w:hint="eastAsia"/>
          <w:b/>
          <w:sz w:val="24"/>
          <w:szCs w:val="24"/>
          <w:shd w:val="clear" w:color="auto" w:fill="FFFFFF"/>
        </w:rPr>
        <w:t>我国</w:t>
      </w:r>
      <w:r w:rsidRPr="00DD0CD9">
        <w:rPr>
          <w:rFonts w:ascii="华文仿宋" w:eastAsia="华文仿宋" w:hAnsi="华文仿宋" w:cs="宋体"/>
          <w:b/>
          <w:sz w:val="24"/>
          <w:szCs w:val="24"/>
          <w:shd w:val="clear" w:color="auto" w:fill="FFFFFF"/>
        </w:rPr>
        <w:t>退耕还林还草工程实施20多年来，中央财政累计投资5353亿元，在25个省（区、市）和新疆生产建设兵团实施退耕还林（草）3480万公顷，有4100万农户1.58亿农民直接受益，被誉为全球生态治理事业中具有标志意义的典范。</w:t>
      </w:r>
    </w:p>
    <w:p w:rsidR="00F71C39" w:rsidRPr="00DD0CD9" w:rsidRDefault="00F71C39" w:rsidP="00F71C39">
      <w:pPr>
        <w:spacing w:line="390" w:lineRule="exact"/>
        <w:ind w:firstLineChars="200" w:firstLine="480"/>
        <w:rPr>
          <w:rFonts w:ascii="华文仿宋" w:eastAsia="华文仿宋" w:hAnsi="华文仿宋" w:cs="宋体"/>
          <w:b/>
          <w:sz w:val="24"/>
          <w:szCs w:val="24"/>
        </w:rPr>
      </w:pPr>
      <w:r w:rsidRPr="00DD0CD9">
        <w:rPr>
          <w:rFonts w:ascii="华文仿宋" w:eastAsia="华文仿宋" w:hAnsi="华文仿宋" w:cs="宋体"/>
          <w:b/>
          <w:sz w:val="24"/>
          <w:szCs w:val="24"/>
          <w:shd w:val="clear" w:color="auto" w:fill="FFFFFF"/>
        </w:rPr>
        <w:t>当前，退耕还林（草）已进入新阶段，面临巩固已有成果和继续扩大规模的双重任务，需要“拿数据说话”——科学精准评估工程生态效益，以总结经验、查找薄弱，推进工程高质量发展。</w:t>
      </w:r>
    </w:p>
    <w:p w:rsidR="00F71C39" w:rsidRPr="00DD0CD9" w:rsidRDefault="00F71C39" w:rsidP="00F71C39">
      <w:pPr>
        <w:spacing w:line="390" w:lineRule="exact"/>
        <w:ind w:firstLineChars="200" w:firstLine="480"/>
        <w:rPr>
          <w:rFonts w:ascii="华文仿宋" w:eastAsia="华文仿宋" w:hAnsi="华文仿宋" w:cs="宋体"/>
          <w:b/>
          <w:sz w:val="24"/>
          <w:szCs w:val="24"/>
        </w:rPr>
      </w:pPr>
      <w:r w:rsidRPr="00DD0CD9">
        <w:rPr>
          <w:rFonts w:ascii="华文仿宋" w:eastAsia="华文仿宋" w:hAnsi="华文仿宋" w:cs="宋体"/>
          <w:b/>
          <w:sz w:val="24"/>
          <w:szCs w:val="24"/>
          <w:shd w:val="clear" w:color="auto" w:fill="FFFFFF"/>
        </w:rPr>
        <w:t>今年5月，《国家退耕还林工程生态监测区划和布局研究》一书的出版，为科学精准评估退耕还林（草）工程生态效益提供了科技支撑。该书全面分析了影响退耕还林（草）生态功能的关键驱动因素，创新性地提出了退耕还林（草）工程生态功能及</w:t>
      </w:r>
      <w:r w:rsidRPr="00DD0CD9">
        <w:rPr>
          <w:rFonts w:ascii="华文仿宋" w:eastAsia="华文仿宋" w:hAnsi="华文仿宋" w:cs="宋体"/>
          <w:b/>
          <w:sz w:val="24"/>
          <w:szCs w:val="24"/>
          <w:shd w:val="clear" w:color="auto" w:fill="FFFFFF"/>
        </w:rPr>
        <w:lastRenderedPageBreak/>
        <w:t>效益监测网络布局的规划方案、监测评估指标及技术规范。</w:t>
      </w:r>
    </w:p>
    <w:p w:rsidR="00F71C39" w:rsidRDefault="00F71C39" w:rsidP="00F71C39">
      <w:pPr>
        <w:spacing w:line="390" w:lineRule="exact"/>
        <w:ind w:firstLineChars="200" w:firstLine="480"/>
        <w:rPr>
          <w:rFonts w:ascii="华文仿宋" w:eastAsia="华文仿宋" w:hAnsi="华文仿宋" w:cs="宋体"/>
          <w:b/>
          <w:sz w:val="24"/>
          <w:szCs w:val="24"/>
        </w:rPr>
      </w:pPr>
      <w:r w:rsidRPr="00DD0CD9">
        <w:rPr>
          <w:rFonts w:ascii="华文仿宋" w:eastAsia="华文仿宋" w:hAnsi="华文仿宋" w:cs="宋体"/>
          <w:b/>
          <w:sz w:val="24"/>
          <w:szCs w:val="24"/>
          <w:shd w:val="clear" w:color="auto" w:fill="FFFFFF"/>
        </w:rPr>
        <w:t>根据我国地形地貌、重点生态功能区等因素，退耕还林（草）工程生态功能监测区划分为寒温带湿润性东北森林带大小兴安岭森林生态保育区、中亚热带湿润性南方红壤丘陵山地生态脆弱区等77个生态监测单元；退耕还林（草）工程生态功能监测网络布局分为东北区、华北区、华东中南区等9个区域，设有99个监测站，可实现对退耕还林（草）工程的全覆盖监测。</w:t>
      </w:r>
    </w:p>
    <w:p w:rsidR="00F71C39" w:rsidRPr="00DD0CD9" w:rsidRDefault="00F71C39" w:rsidP="00F71C39">
      <w:pPr>
        <w:spacing w:line="390" w:lineRule="exact"/>
        <w:ind w:firstLineChars="200" w:firstLine="480"/>
        <w:rPr>
          <w:rFonts w:ascii="华文仿宋" w:eastAsia="华文仿宋" w:hAnsi="华文仿宋" w:cs="宋体"/>
          <w:b/>
          <w:sz w:val="24"/>
          <w:szCs w:val="24"/>
        </w:rPr>
      </w:pPr>
      <w:r w:rsidRPr="00DD0CD9">
        <w:rPr>
          <w:rFonts w:ascii="华文仿宋" w:eastAsia="华文仿宋" w:hAnsi="华文仿宋" w:cs="宋体"/>
          <w:b/>
          <w:sz w:val="24"/>
          <w:szCs w:val="24"/>
          <w:shd w:val="clear" w:color="auto" w:fill="FFFFFF"/>
        </w:rPr>
        <w:t>如此布局，可以有效监测退耕还林（草）生态系统动态变化，掌握退耕还林（草）生态系统变化过程和变化趋势；科学计量退耕还林（草）工程生态效益，为工程决策提供科技支撑和理论指导；服务林业“三增长”的发展战略目标，满足林草发展对退耕还林（草）工程建设的必然要求；完善中国森林生态系统定位观测研究网络体系，填补这一类型生态监测网络的空白，使我国森林生态系统定位观测研究网络涵盖尺度更宽、层次更清晰、体系更完善；搭建解决林草重大科学问题的研究平台，为森林碳汇、森林生态系统健康、森林近自然经营等重大科学问题多尺度、跨区域、跨学科、多纬度研究提供研究平台；支撑生态建设和社会可持续发展，为改善我国生态系统管理状况、保证自然资源可持续利用、促进社会经济可持续发展提供科学技术支撑。</w:t>
      </w:r>
    </w:p>
    <w:p w:rsidR="000B6DAA" w:rsidRDefault="00F71C39" w:rsidP="00F71C39">
      <w:pPr>
        <w:pStyle w:val="a7"/>
        <w:shd w:val="clear" w:color="auto" w:fill="FFFFFF"/>
        <w:spacing w:before="0" w:beforeAutospacing="0" w:after="0" w:afterAutospacing="0" w:line="390" w:lineRule="exact"/>
        <w:ind w:firstLineChars="200" w:firstLine="480"/>
        <w:jc w:val="both"/>
        <w:rPr>
          <w:rFonts w:ascii="华文仿宋" w:eastAsia="华文仿宋" w:hAnsi="华文仿宋" w:cs="仿宋"/>
          <w:b/>
          <w:shd w:val="clear" w:color="auto" w:fill="FFFFFF"/>
        </w:rPr>
      </w:pPr>
      <w:r w:rsidRPr="00DD0CD9">
        <w:rPr>
          <w:rFonts w:ascii="华文仿宋" w:eastAsia="华文仿宋" w:hAnsi="华文仿宋"/>
          <w:b/>
          <w:shd w:val="clear" w:color="auto" w:fill="FFFFFF"/>
        </w:rPr>
        <w:t>中国科学院院士于贵瑞对该书的研究成果给予充分肯定，认为这项研究回应了当前国家退耕还林（草）工程生态功能和综合效益监测评估的科技需求，并期待这项研究能够助力于开创我国重大生态工程效益监测事业发展的新局面，能够在更为广泛的森林生态系统服务、“森林水库”“森林碳库”、森林生态产品及生态资产的网络化、精准化和定量监测方面发挥更大作用</w:t>
      </w:r>
      <w:r>
        <w:rPr>
          <w:rFonts w:ascii="华文仿宋" w:eastAsia="华文仿宋" w:hAnsi="华文仿宋" w:hint="eastAsia"/>
          <w:b/>
          <w:shd w:val="clear" w:color="auto" w:fill="FFFFFF"/>
        </w:rPr>
        <w:t>。</w:t>
      </w:r>
    </w:p>
    <w:p w:rsidR="007E44C9" w:rsidRPr="001415C1" w:rsidRDefault="000B153B" w:rsidP="007E44C9">
      <w:pPr>
        <w:pStyle w:val="a7"/>
        <w:shd w:val="clear" w:color="auto" w:fill="FFFFFF"/>
        <w:spacing w:before="0" w:beforeAutospacing="0" w:after="0" w:afterAutospacing="0" w:line="390" w:lineRule="exact"/>
        <w:ind w:firstLineChars="200" w:firstLine="602"/>
        <w:jc w:val="both"/>
        <w:rPr>
          <w:rFonts w:ascii="仿宋" w:eastAsia="仿宋" w:hAnsi="仿宋"/>
          <w:b/>
        </w:rPr>
      </w:pPr>
      <w:r w:rsidRPr="000B153B">
        <w:rPr>
          <w:rFonts w:asciiTheme="minorEastAsia" w:eastAsiaTheme="minorEastAsia" w:hAnsiTheme="minorEastAsia"/>
          <w:b/>
          <w:bCs/>
          <w:color w:val="4F6228" w:themeColor="accent3" w:themeShade="80"/>
          <w:sz w:val="30"/>
          <w:szCs w:val="30"/>
        </w:rPr>
        <w:pict>
          <v:shape id="_x0000_s2106" type="#_x0000_t98" style="position:absolute;left:0;text-align:left;margin-left:3.3pt;margin-top:5.7pt;width:91.5pt;height:47.1pt;z-index:251665408">
            <v:textbox>
              <w:txbxContent>
                <w:p w:rsidR="00815989" w:rsidRDefault="00EA0B99">
                  <w:pPr>
                    <w:rPr>
                      <w:b/>
                      <w:color w:val="984806" w:themeColor="accent6" w:themeShade="80"/>
                      <w:sz w:val="32"/>
                      <w:szCs w:val="32"/>
                    </w:rPr>
                  </w:pPr>
                  <w:r>
                    <w:rPr>
                      <w:rFonts w:hint="eastAsia"/>
                      <w:b/>
                      <w:color w:val="984806" w:themeColor="accent6" w:themeShade="80"/>
                      <w:sz w:val="32"/>
                      <w:szCs w:val="32"/>
                    </w:rPr>
                    <w:t>林</w:t>
                  </w:r>
                  <w:r w:rsidR="00C35B45">
                    <w:rPr>
                      <w:rFonts w:hint="eastAsia"/>
                      <w:b/>
                      <w:color w:val="984806" w:themeColor="accent6" w:themeShade="80"/>
                      <w:sz w:val="32"/>
                      <w:szCs w:val="32"/>
                    </w:rPr>
                    <w:t>草</w:t>
                  </w:r>
                  <w:r>
                    <w:rPr>
                      <w:rFonts w:hint="eastAsia"/>
                      <w:b/>
                      <w:color w:val="984806" w:themeColor="accent6" w:themeShade="80"/>
                      <w:sz w:val="32"/>
                      <w:szCs w:val="32"/>
                    </w:rPr>
                    <w:t>碳汇</w:t>
                  </w:r>
                </w:p>
              </w:txbxContent>
            </v:textbox>
          </v:shape>
        </w:pict>
      </w:r>
    </w:p>
    <w:p w:rsidR="00815989" w:rsidRDefault="00815989">
      <w:pPr>
        <w:pStyle w:val="a7"/>
        <w:shd w:val="clear" w:color="auto" w:fill="FFFFFF"/>
        <w:spacing w:before="0" w:beforeAutospacing="0" w:after="0" w:afterAutospacing="0" w:line="380" w:lineRule="exact"/>
        <w:rPr>
          <w:rFonts w:ascii="华文仿宋" w:eastAsia="华文仿宋" w:hAnsi="华文仿宋" w:cs="华文仿宋"/>
          <w:b/>
          <w:bCs/>
        </w:rPr>
      </w:pPr>
    </w:p>
    <w:p w:rsidR="00082198" w:rsidRPr="00082198" w:rsidRDefault="00082198" w:rsidP="00C35B45">
      <w:pPr>
        <w:spacing w:beforeLines="100" w:afterLines="60" w:line="390" w:lineRule="exact"/>
        <w:jc w:val="center"/>
        <w:rPr>
          <w:rFonts w:ascii="黑体" w:eastAsia="黑体" w:hAnsi="黑体" w:cs="宋体"/>
          <w:b/>
          <w:color w:val="4F6228" w:themeColor="accent3" w:themeShade="80"/>
          <w:kern w:val="0"/>
          <w:sz w:val="30"/>
          <w:szCs w:val="30"/>
        </w:rPr>
      </w:pPr>
      <w:r w:rsidRPr="00082198">
        <w:rPr>
          <w:rFonts w:ascii="黑体" w:eastAsia="黑体" w:hAnsi="黑体" w:cs="宋体"/>
          <w:b/>
          <w:color w:val="4F6228" w:themeColor="accent3" w:themeShade="80"/>
          <w:kern w:val="0"/>
          <w:sz w:val="30"/>
          <w:szCs w:val="30"/>
        </w:rPr>
        <w:t>首届全国林草碳汇高峰论坛举办</w:t>
      </w:r>
    </w:p>
    <w:p w:rsidR="00082198" w:rsidRPr="00DD0CD9" w:rsidRDefault="00082198" w:rsidP="00082198">
      <w:pPr>
        <w:spacing w:line="390" w:lineRule="exact"/>
        <w:ind w:firstLineChars="200" w:firstLine="480"/>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7月1日，首届全国林草碳汇高峰论坛举办，主题为“发挥林草碳汇优势，助力实现双碳目标”。</w:t>
      </w:r>
    </w:p>
    <w:p w:rsidR="00082198" w:rsidRPr="00DD0CD9" w:rsidRDefault="00082198" w:rsidP="0008219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近年来，国家林草局不断加大林草碳汇工作力度，与自然资源部、国家发改委、财政部共同牵头编制《生态系统碳汇能力巩固提升实施方案（2021—2030年）》，组织编制《“十四五”林业草原保护发展规划纲要》《林业和草原碳汇行动方案（2021—2030年）》《实现2030年森林蓄积量目标实施方案》。多次开展专题研究部署，组建应对气候变化工作专班，成立专家咨询委员会和碳汇研究院。与中国石油化工集团公司、国家开发银行、中国建设银行等央企开展战略合作，创新林草碳汇机制。开展林草助力碳中和战略课题研究，开展“碳库”相关政策研究，研发林草增汇减排关键技术，提升林草碳汇决策科学化水平。</w:t>
      </w:r>
    </w:p>
    <w:p w:rsidR="00082198" w:rsidRPr="00DD0CD9" w:rsidRDefault="00082198" w:rsidP="0008219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下一步，国家林草局将围绕“双碳”目标，着力提升林草碳汇能力。科学开展国土绿化，持续扩大森林面积，精准提升森林质量，加强森林资源保护，提高林草碳汇</w:t>
      </w:r>
      <w:r w:rsidRPr="00DD0CD9">
        <w:rPr>
          <w:rFonts w:ascii="华文仿宋" w:eastAsia="华文仿宋" w:hAnsi="华文仿宋" w:cs="宋体"/>
          <w:b/>
          <w:color w:val="000000"/>
          <w:sz w:val="24"/>
          <w:szCs w:val="24"/>
          <w:shd w:val="clear" w:color="auto" w:fill="FFFFFF"/>
        </w:rPr>
        <w:lastRenderedPageBreak/>
        <w:t>增量。加大森林草原防火和有害生物防控力度，加强林业生物质能源开发利用与木竹材料替代，减少碳排放。开展林草碳汇计量监测评估，服务国家温室气体清单编制、国家自主贡献目标进展评估与更新、碳汇交易。深入研究森林、草原、湿地、荒漠等陆地生态系统碳汇潜力及实现路径。积极参与国家碳市场制度建设，鼓励社会主体参与林草碳汇项目开发建设，指导开展林草碳汇项目开发交易和碳中和行动。</w:t>
      </w:r>
    </w:p>
    <w:p w:rsidR="00082198" w:rsidRPr="00DD0CD9" w:rsidRDefault="00082198" w:rsidP="00082198">
      <w:pPr>
        <w:spacing w:line="390" w:lineRule="exact"/>
        <w:ind w:firstLineChars="200" w:firstLine="480"/>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论坛由国家林草局应对气候变化工作领导小组办公室、福建省林业局指导，中国林学会、中国林科院、福建农林大学、三明市人民政府、中国林业集团公司主办。中国科学院院士方精云、于贵瑞，国家应对气候变化战略研究和国际合作中心主任徐华清，中国林科院研究员刘世荣等专家学者，国家林草局、国家发改委、生态环境部的有关部门负责人线上线下发表主旨演讲。</w:t>
      </w:r>
    </w:p>
    <w:p w:rsidR="00082198" w:rsidRPr="00DD0CD9" w:rsidRDefault="00082198" w:rsidP="00C35B45">
      <w:pPr>
        <w:spacing w:beforeLines="60" w:afterLines="60" w:line="390" w:lineRule="exact"/>
        <w:jc w:val="center"/>
        <w:rPr>
          <w:rFonts w:ascii="华文仿宋" w:eastAsia="华文仿宋" w:hAnsi="华文仿宋" w:cs="黑体"/>
          <w:b/>
          <w:color w:val="76923C" w:themeColor="accent3" w:themeShade="BF"/>
          <w:sz w:val="24"/>
          <w:szCs w:val="24"/>
          <w:shd w:val="clear" w:color="auto" w:fill="FFFFFF"/>
        </w:rPr>
      </w:pPr>
      <w:r w:rsidRPr="00082198">
        <w:rPr>
          <w:rFonts w:ascii="黑体" w:eastAsia="黑体" w:hAnsi="黑体" w:cs="宋体"/>
          <w:b/>
          <w:color w:val="4F6228" w:themeColor="accent3" w:themeShade="80"/>
          <w:kern w:val="0"/>
          <w:sz w:val="30"/>
          <w:szCs w:val="30"/>
        </w:rPr>
        <w:t>福建三明启动林业碳汇“三建两创”行动</w:t>
      </w:r>
    </w:p>
    <w:p w:rsidR="00082198" w:rsidRPr="00DD0CD9" w:rsidRDefault="00082198" w:rsidP="00082198">
      <w:pPr>
        <w:spacing w:line="390" w:lineRule="exact"/>
        <w:ind w:firstLineChars="200" w:firstLine="480"/>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福建省三明市近期启动实施林业碳汇“三建两创”行动，将建好森林碳库、建立林业碳汇项目开发机制、建设区域碳汇交易体系和创新林业碳票制度、创建碳汇应用场景作为助力实现“双碳”目标的主要任务。</w:t>
      </w:r>
    </w:p>
    <w:p w:rsidR="00082198" w:rsidRPr="00DD0CD9" w:rsidRDefault="00082198" w:rsidP="0008219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到2025年，三明市计划建设碳汇林90万亩，建设国家储备林100万亩，完成森林质量精准提升45万亩，使全市森林覆盖率保持在76.8%以上、森林蓄积量达到19906万立方米。森林、湿地生态系统更加稳定、结构更加合理、功能更加完备，森林植被固碳能力显著增强。通过对林业碳汇项目开发、交易、应用等方面的积极探索，完善生态产品价值实现机制。</w:t>
      </w:r>
    </w:p>
    <w:p w:rsidR="00082198" w:rsidRPr="00DD0CD9" w:rsidRDefault="00082198" w:rsidP="00082198">
      <w:pPr>
        <w:spacing w:line="390" w:lineRule="exact"/>
        <w:rPr>
          <w:rFonts w:ascii="华文仿宋" w:eastAsia="华文仿宋" w:hAnsi="华文仿宋" w:cs="宋体"/>
          <w:b/>
          <w:color w:val="000000"/>
          <w:sz w:val="24"/>
          <w:szCs w:val="24"/>
        </w:rPr>
      </w:pPr>
      <w:r w:rsidRPr="00DD0CD9">
        <w:rPr>
          <w:rFonts w:ascii="华文仿宋" w:eastAsia="华文仿宋" w:hAnsi="华文仿宋" w:cs="宋体"/>
          <w:b/>
          <w:color w:val="000000"/>
          <w:sz w:val="24"/>
          <w:szCs w:val="24"/>
          <w:shd w:val="clear" w:color="auto" w:fill="FFFFFF"/>
        </w:rPr>
        <w:t xml:space="preserve">　　三明将实施森林增绿固碳、森林增质固碳、森林增效固碳、森林减灾保护和生物减排固碳工程。“十四五”期间，全市计划植树造林90万亩，完成森林抚育300万亩、封山育林100万亩、松林改造提升120万亩。加强林业碳汇计量评估，创新林业碳汇方法学，做好林业碳汇项目储备。加快沙县农村产权交易中心建设，打造区域林业综合交易中心，积极开展林业碳汇交易，建立林业碳汇收储机制。争取到2025年，全市交易林业碳汇碳减排量累计达到150万吨以上，其中林业碳票30万吨以上。完善林业碳票管理办法，争取升级碳票计量方法，探索创建“碳汇+碳中和”“碳汇+生态司法”“碳汇+义务植树”“碳汇+金融”“碳汇+信用积分”等应用场景。</w:t>
      </w:r>
    </w:p>
    <w:p w:rsidR="00082198" w:rsidRPr="00DD0CD9" w:rsidRDefault="00082198" w:rsidP="00C35B45">
      <w:pPr>
        <w:spacing w:beforeLines="50" w:afterLines="50" w:line="390" w:lineRule="exact"/>
        <w:jc w:val="center"/>
        <w:rPr>
          <w:rFonts w:ascii="华文仿宋" w:eastAsia="华文仿宋" w:hAnsi="华文仿宋" w:cs="黑体"/>
          <w:b/>
          <w:color w:val="76923C" w:themeColor="accent3" w:themeShade="BF"/>
          <w:sz w:val="24"/>
          <w:szCs w:val="24"/>
          <w:shd w:val="clear" w:color="auto" w:fill="FFFFFF"/>
        </w:rPr>
      </w:pPr>
      <w:r w:rsidRPr="00082198">
        <w:rPr>
          <w:rFonts w:ascii="黑体" w:eastAsia="黑体" w:hAnsi="黑体" w:cs="宋体"/>
          <w:b/>
          <w:color w:val="4F6228" w:themeColor="accent3" w:themeShade="80"/>
          <w:kern w:val="0"/>
          <w:sz w:val="30"/>
          <w:szCs w:val="30"/>
        </w:rPr>
        <w:t>浙江加强林业固碳增汇试点建设管理</w:t>
      </w:r>
    </w:p>
    <w:p w:rsidR="00082198" w:rsidRPr="00DD0CD9" w:rsidRDefault="00082198" w:rsidP="0008219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浙江省日前发布林业固碳增汇试点建设管理办法，规范林业固碳增汇试点建设。</w:t>
      </w:r>
    </w:p>
    <w:p w:rsidR="00082198" w:rsidRPr="00DD0CD9" w:rsidRDefault="00082198" w:rsidP="0008219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管理办法明确了全省林业固碳增汇试点建设申报、建设、评估、验收、命名等各环节，提出了生态优先、统筹兼顾，自愿开展、动态管理，突出应用、示范推广等3项原则，明确省、市、县三级林业主管部门的职责，将试点分为林业增汇试点县和林业碳汇先行基地两大类。提出加强数字化管理，加强对试点建设的资金项目、技术团队、科研项目、交易渠道、宣传活动的支持。</w:t>
      </w:r>
    </w:p>
    <w:p w:rsidR="00082198" w:rsidRPr="00DD0CD9" w:rsidRDefault="00082198" w:rsidP="00C35B45">
      <w:pPr>
        <w:spacing w:beforeLines="100" w:afterLines="50" w:line="390" w:lineRule="exact"/>
        <w:jc w:val="center"/>
        <w:rPr>
          <w:rFonts w:ascii="华文仿宋" w:eastAsia="华文仿宋" w:hAnsi="华文仿宋" w:cs="黑体"/>
          <w:b/>
          <w:color w:val="76923C" w:themeColor="accent3" w:themeShade="BF"/>
          <w:sz w:val="24"/>
          <w:szCs w:val="24"/>
          <w:shd w:val="clear" w:color="auto" w:fill="FFFFFF"/>
        </w:rPr>
      </w:pPr>
      <w:r w:rsidRPr="00082198">
        <w:rPr>
          <w:rFonts w:ascii="黑体" w:eastAsia="黑体" w:hAnsi="黑体" w:cs="宋体"/>
          <w:b/>
          <w:color w:val="4F6228" w:themeColor="accent3" w:themeShade="80"/>
          <w:kern w:val="0"/>
          <w:sz w:val="30"/>
          <w:szCs w:val="30"/>
        </w:rPr>
        <w:lastRenderedPageBreak/>
        <w:t>安徽凤阳发放“碳中和”体验卡</w:t>
      </w:r>
    </w:p>
    <w:p w:rsidR="00082198" w:rsidRPr="00DD0CD9" w:rsidRDefault="00082198" w:rsidP="00C35B45">
      <w:pPr>
        <w:spacing w:line="392"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近日，安徽省凤阳县林长制办公室会同凤阳大明旅游发展（集团）有限公司在安徽省首发“碳中和”体验卡。</w:t>
      </w:r>
    </w:p>
    <w:p w:rsidR="00082198" w:rsidRPr="00DD0CD9" w:rsidRDefault="00082198" w:rsidP="00C35B45">
      <w:pPr>
        <w:spacing w:line="392"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今年3月，凤阳县几大班子领导带领57家县直机关单位工作人员在凤凰山参加义务植树，共栽植乌桕、绚丽海棠1100多株，造林20余亩。据测算，10年监测期内可固碳320吨，实现碳汇交易价值1.44万元。此次发放“碳中和”体验卡，参加义务植树活动的每个单位都可领取4张，可在本年度内到安徽韭山国家森林公园观赏森林景物，畅享“森林浴”，践行低碳生活。</w:t>
      </w:r>
    </w:p>
    <w:p w:rsidR="00082198" w:rsidRPr="00DD0CD9" w:rsidRDefault="00082198" w:rsidP="00C35B45">
      <w:pPr>
        <w:spacing w:line="392"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十三五”以来，凤阳县累计投入14亿元，完成人工造林21.7万亩、封山育林6.5万亩、森林抚育18.5万亩、退化林修复2万亩，建设淮河生态廊道4.9万亩，公园绿地面积新增200万平方米，义务植树800余万株。全县林地面积67.6万亩，森林蓄积量260万立方米，森林植被碳储量达416万吨。</w:t>
      </w:r>
    </w:p>
    <w:p w:rsidR="00082198" w:rsidRPr="00DD0CD9" w:rsidRDefault="00082198" w:rsidP="00C35B45">
      <w:pPr>
        <w:spacing w:beforeLines="70" w:afterLines="70" w:line="390" w:lineRule="exact"/>
        <w:jc w:val="center"/>
        <w:rPr>
          <w:rFonts w:ascii="华文仿宋" w:eastAsia="华文仿宋" w:hAnsi="华文仿宋" w:cs="黑体"/>
          <w:b/>
          <w:color w:val="76923C" w:themeColor="accent3" w:themeShade="BF"/>
          <w:sz w:val="24"/>
          <w:szCs w:val="24"/>
          <w:shd w:val="clear" w:color="auto" w:fill="FFFFFF"/>
        </w:rPr>
      </w:pPr>
      <w:r w:rsidRPr="00082198">
        <w:rPr>
          <w:rFonts w:ascii="黑体" w:eastAsia="黑体" w:hAnsi="黑体" w:cs="宋体"/>
          <w:b/>
          <w:color w:val="4F6228" w:themeColor="accent3" w:themeShade="80"/>
          <w:kern w:val="0"/>
          <w:sz w:val="30"/>
          <w:szCs w:val="30"/>
        </w:rPr>
        <w:t>江西九江到2025年新增林业碳汇约3000万吨</w:t>
      </w:r>
    </w:p>
    <w:p w:rsidR="00082198" w:rsidRPr="00DD0CD9" w:rsidRDefault="00082198" w:rsidP="00511944">
      <w:pPr>
        <w:spacing w:line="390" w:lineRule="exact"/>
        <w:ind w:firstLineChars="200" w:firstLine="480"/>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江西省九江市近日出台科学绿化实施方案，提出到2025年，全市完成营造林任务205.8万亩，使林木覆盖率达到57%以上，森林蓄积量达到7100万立方米；培育珍贵阔叶树及大径材储备林1.3万亩；新增林业碳汇约3000万吨。</w:t>
      </w:r>
    </w:p>
    <w:p w:rsidR="00082198" w:rsidRPr="00DD0CD9" w:rsidRDefault="00082198" w:rsidP="00082198">
      <w:pPr>
        <w:spacing w:line="390" w:lineRule="exact"/>
        <w:rPr>
          <w:rFonts w:ascii="华文仿宋" w:eastAsia="华文仿宋" w:hAnsi="华文仿宋" w:cs="宋体"/>
          <w:b/>
          <w:color w:val="000000"/>
          <w:sz w:val="24"/>
          <w:szCs w:val="24"/>
          <w:shd w:val="clear" w:color="auto" w:fill="FFFFFF"/>
        </w:rPr>
      </w:pPr>
      <w:r w:rsidRPr="00DD0CD9">
        <w:rPr>
          <w:rFonts w:ascii="华文仿宋" w:eastAsia="华文仿宋" w:hAnsi="华文仿宋" w:cs="宋体"/>
          <w:b/>
          <w:color w:val="000000"/>
          <w:sz w:val="24"/>
          <w:szCs w:val="24"/>
          <w:shd w:val="clear" w:color="auto" w:fill="FFFFFF"/>
        </w:rPr>
        <w:t xml:space="preserve">　　方案提出，要合理安排绿化用地，造林绿化规划要依据国土“三调”数据和国土空间规划“一张图”数据科学划定，严格落实生态保护红线、自然保护地管理等相关政策法规。科学设计规范施工，宜造则造、宜封则封、宜改则改、宜补则补，科学选择绿化树种，坚持绿化与彩化相结合、增绿与增收相结合。大力实施林业扩绿、增彩、提质、增效四项工程。开展全市林业碳汇量调查监测，建立林业碳汇研发中心，引导社会资本投入林业碳汇项目，探索“林业碳汇+”。</w:t>
      </w:r>
    </w:p>
    <w:p w:rsidR="00082198" w:rsidRPr="00082198" w:rsidRDefault="00082198" w:rsidP="00C35B45">
      <w:pPr>
        <w:pStyle w:val="2"/>
        <w:shd w:val="clear" w:color="auto" w:fill="FFFFFF"/>
        <w:spacing w:beforeLines="70" w:beforeAutospacing="0" w:afterLines="70" w:afterAutospacing="0" w:line="390" w:lineRule="exact"/>
        <w:jc w:val="center"/>
        <w:rPr>
          <w:rFonts w:ascii="黑体" w:eastAsia="黑体" w:hAnsi="黑体"/>
          <w:b/>
          <w:color w:val="4F6228" w:themeColor="accent3" w:themeShade="80"/>
          <w:sz w:val="30"/>
          <w:szCs w:val="30"/>
        </w:rPr>
      </w:pPr>
      <w:r w:rsidRPr="00082198">
        <w:rPr>
          <w:rFonts w:ascii="黑体" w:eastAsia="黑体" w:hAnsi="黑体" w:hint="eastAsia"/>
          <w:b/>
          <w:color w:val="4F6228" w:themeColor="accent3" w:themeShade="80"/>
          <w:sz w:val="30"/>
          <w:szCs w:val="30"/>
        </w:rPr>
        <w:t>甘肃开展人工草地固碳能力及碳汇价值评估</w:t>
      </w:r>
    </w:p>
    <w:p w:rsidR="00082198" w:rsidRPr="00DD0CD9" w:rsidRDefault="00082198" w:rsidP="00C35B45">
      <w:pPr>
        <w:pStyle w:val="a7"/>
        <w:spacing w:before="0" w:beforeAutospacing="0" w:after="0" w:afterAutospacing="0" w:line="392" w:lineRule="exact"/>
        <w:ind w:firstLineChars="200" w:firstLine="480"/>
        <w:jc w:val="both"/>
        <w:rPr>
          <w:rFonts w:ascii="华文仿宋" w:eastAsia="华文仿宋" w:hAnsi="华文仿宋"/>
          <w:b/>
          <w:color w:val="000000"/>
        </w:rPr>
      </w:pPr>
      <w:r w:rsidRPr="00DD0CD9">
        <w:rPr>
          <w:rFonts w:ascii="华文仿宋" w:eastAsia="华文仿宋" w:hAnsi="华文仿宋" w:hint="eastAsia"/>
          <w:b/>
          <w:color w:val="000000"/>
          <w:shd w:val="clear" w:color="auto" w:fill="FFFFFF"/>
        </w:rPr>
        <w:t>日前，甘肃省草原技术推广总站技术人员与甘肃农业大学草业学院专家走访了民勤县和永昌县规模化种植苜蓿的企业，对当地种植苜蓿的品种、种植年限及日常管理等情况进行调研。经综合分析后，初步确定了民勤县蔡旗镇紫花苜蓿-wl系列栽植1—7年地块和永昌县东寨镇紫花苜蓿-冲击波栽植1—7年地块作为试验用地，完成了人工草地固碳能力及碳汇价值评估研究项目前期准备工作。</w:t>
      </w:r>
    </w:p>
    <w:p w:rsidR="00082198" w:rsidRPr="00DD0CD9" w:rsidRDefault="00082198" w:rsidP="00C35B45">
      <w:pPr>
        <w:pStyle w:val="a7"/>
        <w:spacing w:before="0" w:beforeAutospacing="0" w:after="0" w:afterAutospacing="0" w:line="392" w:lineRule="exact"/>
        <w:ind w:firstLineChars="200" w:firstLine="480"/>
        <w:jc w:val="both"/>
        <w:rPr>
          <w:rFonts w:ascii="华文仿宋" w:eastAsia="华文仿宋" w:hAnsi="华文仿宋"/>
          <w:b/>
          <w:color w:val="000000"/>
        </w:rPr>
      </w:pPr>
      <w:r w:rsidRPr="00DD0CD9">
        <w:rPr>
          <w:rFonts w:ascii="华文仿宋" w:eastAsia="华文仿宋" w:hAnsi="华文仿宋" w:hint="eastAsia"/>
          <w:b/>
          <w:color w:val="000000"/>
          <w:shd w:val="clear" w:color="auto" w:fill="FFFFFF"/>
        </w:rPr>
        <w:t>下一步，甘肃省草原技术推广总站根据项目进度安排，将进行不同种类人工草地植物光合效率、地上与根系生物量及碳储量测定，研究不同种类人工草地碳储量差异及年际间变化规律，分析影响其碳储量差异的主要因子；比较分析土壤呼吸速率、总有机碳、活性有机碳、难降解有机碳等含量，研究河西灌区主要人工草地土壤有机碳</w:t>
      </w:r>
      <w:r w:rsidRPr="00DD0CD9">
        <w:rPr>
          <w:rFonts w:ascii="华文仿宋" w:eastAsia="华文仿宋" w:hAnsi="华文仿宋" w:hint="eastAsia"/>
          <w:b/>
          <w:color w:val="000000"/>
          <w:shd w:val="clear" w:color="auto" w:fill="FFFFFF"/>
        </w:rPr>
        <w:lastRenderedPageBreak/>
        <w:t>库累积能力差异；测定计算草地植被碳密度、土壤碳密度、植被及土壤碳储量，科学评价人工草地对调控草地生态碳收支平衡的贡献。</w:t>
      </w:r>
    </w:p>
    <w:p w:rsidR="00082198" w:rsidRPr="00DD0CD9" w:rsidRDefault="00082198" w:rsidP="00C35B45">
      <w:pPr>
        <w:pStyle w:val="a7"/>
        <w:spacing w:before="0" w:beforeAutospacing="0" w:after="0" w:afterAutospacing="0" w:line="392" w:lineRule="exact"/>
        <w:ind w:firstLineChars="200" w:firstLine="480"/>
        <w:jc w:val="both"/>
        <w:rPr>
          <w:rFonts w:ascii="华文仿宋" w:eastAsia="华文仿宋" w:hAnsi="华文仿宋"/>
          <w:b/>
          <w:color w:val="000000"/>
        </w:rPr>
      </w:pPr>
      <w:r w:rsidRPr="00DD0CD9">
        <w:rPr>
          <w:rFonts w:ascii="华文仿宋" w:eastAsia="华文仿宋" w:hAnsi="华文仿宋" w:hint="eastAsia"/>
          <w:b/>
          <w:color w:val="000000"/>
          <w:shd w:val="clear" w:color="auto" w:fill="FFFFFF"/>
        </w:rPr>
        <w:t>甘肃是草地资源大省，天然草地面积2.146亿亩，人工草地面积多年来位居全国前列。随着退牧（耕）还草、草原补奖等工程政策的实施，进一步推进了人工草地建设和草牧业转型升级，促进了草原生态生产协调发展。研究人工草地碳储量对陆地生态系统碳源、碳汇的影响及碳收支评估的准确性对甘肃省具有重要意义。</w:t>
      </w:r>
    </w:p>
    <w:p w:rsidR="00082198" w:rsidRPr="00DD0CD9" w:rsidRDefault="00082198" w:rsidP="00C35B45">
      <w:pPr>
        <w:pStyle w:val="2"/>
        <w:shd w:val="clear" w:color="auto" w:fill="FFFFFF"/>
        <w:spacing w:beforeLines="70" w:beforeAutospacing="0" w:afterLines="70" w:afterAutospacing="0" w:line="390" w:lineRule="exact"/>
        <w:jc w:val="center"/>
        <w:rPr>
          <w:rFonts w:ascii="华文仿宋" w:eastAsia="华文仿宋" w:hAnsi="华文仿宋"/>
          <w:color w:val="76923C" w:themeColor="accent3" w:themeShade="BF"/>
        </w:rPr>
      </w:pPr>
      <w:r w:rsidRPr="00082198">
        <w:rPr>
          <w:rFonts w:ascii="黑体" w:eastAsia="黑体" w:hAnsi="黑体" w:hint="eastAsia"/>
          <w:b/>
          <w:color w:val="4F6228" w:themeColor="accent3" w:themeShade="80"/>
          <w:sz w:val="30"/>
          <w:szCs w:val="30"/>
        </w:rPr>
        <w:t xml:space="preserve">越南大力推进碳信用市场建设 </w:t>
      </w:r>
    </w:p>
    <w:p w:rsidR="00082198" w:rsidRPr="00DD0CD9" w:rsidRDefault="00082198" w:rsidP="00C35B45">
      <w:pPr>
        <w:pStyle w:val="a7"/>
        <w:shd w:val="clear" w:color="auto" w:fill="FFFFFF"/>
        <w:spacing w:before="0" w:beforeAutospacing="0" w:after="0" w:afterAutospacing="0" w:line="392" w:lineRule="exact"/>
        <w:jc w:val="both"/>
        <w:rPr>
          <w:rFonts w:ascii="华文仿宋" w:eastAsia="华文仿宋" w:hAnsi="华文仿宋"/>
          <w:b/>
          <w:color w:val="000000"/>
        </w:rPr>
      </w:pPr>
      <w:r w:rsidRPr="00DD0CD9">
        <w:rPr>
          <w:rFonts w:ascii="华文仿宋" w:eastAsia="华文仿宋" w:hAnsi="华文仿宋" w:hint="eastAsia"/>
          <w:color w:val="000000"/>
        </w:rPr>
        <w:t xml:space="preserve">     </w:t>
      </w:r>
      <w:r w:rsidRPr="00DD0CD9">
        <w:rPr>
          <w:rFonts w:ascii="华文仿宋" w:eastAsia="华文仿宋" w:hAnsi="华文仿宋" w:hint="eastAsia"/>
          <w:b/>
          <w:color w:val="000000"/>
        </w:rPr>
        <w:t>越南通讯社网站日前报道，越南森林资源储备丰富，多家机构计划投资数十亿美元购买越南森林碳信用，预计不久的将来越南碳市场将蓬勃发展。</w:t>
      </w:r>
    </w:p>
    <w:p w:rsidR="00082198" w:rsidRPr="00DD0CD9" w:rsidRDefault="00082198" w:rsidP="00C35B45">
      <w:pPr>
        <w:pStyle w:val="a7"/>
        <w:shd w:val="clear" w:color="auto" w:fill="FFFFFF"/>
        <w:spacing w:before="0" w:beforeAutospacing="0" w:after="0" w:afterAutospacing="0" w:line="392" w:lineRule="exact"/>
        <w:jc w:val="both"/>
        <w:rPr>
          <w:rFonts w:ascii="华文仿宋" w:eastAsia="华文仿宋" w:hAnsi="华文仿宋"/>
          <w:b/>
          <w:color w:val="000000"/>
        </w:rPr>
      </w:pPr>
      <w:r w:rsidRPr="00DD0CD9">
        <w:rPr>
          <w:rFonts w:ascii="华文仿宋" w:eastAsia="华文仿宋" w:hAnsi="华文仿宋" w:hint="eastAsia"/>
          <w:b/>
          <w:color w:val="000000"/>
        </w:rPr>
        <w:t xml:space="preserve">　　碳信用指可以进入碳交易市场的碳排放计量单位，1个碳信用额相当于1吨二氧化碳当量。2020年，越南森林蓄积量约为9.9亿立方米，未来10年内，森林蓄积量预计可达12.5亿立方米。据估算，越南未来每年可向国际机构出售5700万个碳信用，每个碳信用价格可以达到5美元。目前，越南全国有23个省市能够提供碳抵消服务。其中，广南省已正式申请成为越南首个进入自愿碳市场的省份。广南省位于越南中南部，森林面积为62.8万公顷，当前年度固碳量约100万吨，这意味着可以向国际市场出售100万个碳信用。预计到2025年可出售600万个碳信用，按单价5美元计算，总金额可达3000万美元。</w:t>
      </w:r>
    </w:p>
    <w:p w:rsidR="00082198" w:rsidRPr="00DD0CD9" w:rsidRDefault="00082198" w:rsidP="00C35B45">
      <w:pPr>
        <w:pStyle w:val="a7"/>
        <w:shd w:val="clear" w:color="auto" w:fill="FFFFFF"/>
        <w:spacing w:before="0" w:beforeAutospacing="0" w:after="0" w:afterAutospacing="0" w:line="392" w:lineRule="exact"/>
        <w:jc w:val="both"/>
        <w:rPr>
          <w:rFonts w:ascii="华文仿宋" w:eastAsia="华文仿宋" w:hAnsi="华文仿宋"/>
          <w:b/>
          <w:color w:val="000000"/>
        </w:rPr>
      </w:pPr>
      <w:r w:rsidRPr="00DD0CD9">
        <w:rPr>
          <w:rFonts w:ascii="华文仿宋" w:eastAsia="华文仿宋" w:hAnsi="华文仿宋" w:hint="eastAsia"/>
          <w:b/>
          <w:color w:val="000000"/>
        </w:rPr>
        <w:t xml:space="preserve">　　目前，3个主流的碳信用交易协议正在越南试运行。其中包括2020年10月越南与世界银行森林碳伙伴基金（FCDP）签署的减排指标购买协议，旨在为越南中北部6个省份提供高达5150万美元的资金，以支持其在2025年前减少因毁林和森林退化造成的1030万吨二氧化碳排放。2021年底，越南农业和农村发展部与加速森林融资减排联盟（LEAF）授权单位——促进林业融资组织，签署了关于二氧化碳减排指标转让意向书。根据协议，2022—2026年期间，越南将转让中南部和中部高原地区森林吸收的515万吨二氧化碳减排指标，并因此将获得5150万美元的森林保护开发资金。</w:t>
      </w:r>
    </w:p>
    <w:p w:rsidR="00082198" w:rsidRPr="00DD0CD9" w:rsidRDefault="00082198" w:rsidP="00C35B45">
      <w:pPr>
        <w:pStyle w:val="a7"/>
        <w:shd w:val="clear" w:color="auto" w:fill="FFFFFF"/>
        <w:spacing w:before="0" w:beforeAutospacing="0" w:after="0" w:afterAutospacing="0" w:line="392" w:lineRule="exact"/>
        <w:jc w:val="both"/>
        <w:rPr>
          <w:rFonts w:ascii="华文仿宋" w:eastAsia="华文仿宋" w:hAnsi="华文仿宋"/>
          <w:b/>
          <w:color w:val="000000"/>
        </w:rPr>
      </w:pPr>
      <w:r w:rsidRPr="00DD0CD9">
        <w:rPr>
          <w:rFonts w:ascii="华文仿宋" w:eastAsia="华文仿宋" w:hAnsi="华文仿宋" w:hint="eastAsia"/>
          <w:b/>
          <w:color w:val="000000"/>
        </w:rPr>
        <w:t xml:space="preserve">　　在过去5年中，越南实施了越南市场准备伙伴计划，在钢铁生产和固体废物管理方面开展了试点研究。越南环境与自然资源部气候变化司副司长阮全光表示，目前该计划已基本完成，这标志着越南在建设国内碳市场以及进入全球碳市场方面迈出了重要一步。近期，越南副总理黎文成要求财政部会同环境与自然资源部以及有关机构协调，根据2020年修订的《环境保护法》起草国内碳市场发展计划。</w:t>
      </w:r>
    </w:p>
    <w:p w:rsidR="00815989" w:rsidRDefault="00082198" w:rsidP="00C35B45">
      <w:pPr>
        <w:pStyle w:val="a7"/>
        <w:spacing w:before="0" w:beforeAutospacing="0" w:after="0" w:afterAutospacing="0" w:line="392" w:lineRule="exact"/>
        <w:ind w:firstLineChars="200" w:firstLine="480"/>
        <w:jc w:val="both"/>
        <w:rPr>
          <w:rFonts w:ascii="华文仿宋" w:eastAsia="华文仿宋" w:hAnsi="华文仿宋" w:cs="仿宋"/>
          <w:b/>
          <w:shd w:val="clear" w:color="auto" w:fill="FFFFFF"/>
        </w:rPr>
      </w:pPr>
      <w:r w:rsidRPr="00DD0CD9">
        <w:rPr>
          <w:rFonts w:ascii="华文仿宋" w:eastAsia="华文仿宋" w:hAnsi="华文仿宋" w:hint="eastAsia"/>
          <w:b/>
          <w:color w:val="000000"/>
        </w:rPr>
        <w:t>专家认为，碳信用额度是越南的新资源，为提升森林种植者收入、保护和扩大森林面积提供了急需的资金。专家敦促政府制定碳市场建设的法律框架，并在国家、部门和下属部门层面建立温室气体排放核算和监测体系以及透明可靠的监测、报告和核查体系，以确保碳信用市场成功运行。</w:t>
      </w:r>
    </w:p>
    <w:p w:rsidR="007E44C9" w:rsidRDefault="007E44C9" w:rsidP="0027556B">
      <w:pPr>
        <w:pStyle w:val="a7"/>
        <w:spacing w:before="0" w:beforeAutospacing="0" w:after="0" w:afterAutospacing="0" w:line="390" w:lineRule="exact"/>
        <w:ind w:firstLineChars="200" w:firstLine="480"/>
        <w:jc w:val="both"/>
        <w:rPr>
          <w:rFonts w:ascii="华文仿宋" w:eastAsia="华文仿宋" w:hAnsi="华文仿宋" w:cs="仿宋" w:hint="eastAsia"/>
          <w:b/>
          <w:shd w:val="clear" w:color="auto" w:fill="FFFFFF"/>
        </w:rPr>
      </w:pPr>
    </w:p>
    <w:p w:rsidR="00C35B45" w:rsidRDefault="00C35B45" w:rsidP="0027556B">
      <w:pPr>
        <w:pStyle w:val="a7"/>
        <w:spacing w:before="0" w:beforeAutospacing="0" w:after="0" w:afterAutospacing="0" w:line="390" w:lineRule="exact"/>
        <w:ind w:firstLineChars="200" w:firstLine="480"/>
        <w:jc w:val="both"/>
        <w:rPr>
          <w:rFonts w:ascii="华文仿宋" w:eastAsia="华文仿宋" w:hAnsi="华文仿宋" w:cs="仿宋" w:hint="eastAsia"/>
          <w:b/>
          <w:shd w:val="clear" w:color="auto" w:fill="FFFFFF"/>
        </w:rPr>
      </w:pPr>
    </w:p>
    <w:p w:rsidR="00C84E18" w:rsidRDefault="00C35B45" w:rsidP="00752C50">
      <w:pPr>
        <w:spacing w:line="390" w:lineRule="exact"/>
        <w:ind w:firstLine="482"/>
        <w:jc w:val="center"/>
        <w:rPr>
          <w:rFonts w:ascii="华文仿宋" w:eastAsia="华文仿宋" w:hAnsi="华文仿宋" w:cs="华文仿宋"/>
          <w:b/>
          <w:bCs/>
          <w:color w:val="004773"/>
          <w:sz w:val="24"/>
          <w:szCs w:val="24"/>
        </w:rPr>
      </w:pPr>
      <w:r w:rsidRPr="000B153B">
        <w:rPr>
          <w:rFonts w:ascii="黑体" w:eastAsia="黑体" w:hAnsi="黑体" w:cs="宋体"/>
          <w:b/>
          <w:bCs/>
          <w:sz w:val="30"/>
          <w:szCs w:val="30"/>
        </w:rPr>
        <w:lastRenderedPageBreak/>
        <w:pict>
          <v:shape id="_x0000_s2104" type="#_x0000_t98" style="position:absolute;left:0;text-align:left;margin-left:1.05pt;margin-top:9pt;width:94.5pt;height:47pt;z-index:251664384">
            <v:textbox>
              <w:txbxContent>
                <w:p w:rsidR="00815989" w:rsidRDefault="00EA0B99">
                  <w:pPr>
                    <w:rPr>
                      <w:b/>
                      <w:color w:val="984806" w:themeColor="accent6" w:themeShade="80"/>
                      <w:sz w:val="32"/>
                      <w:szCs w:val="32"/>
                    </w:rPr>
                  </w:pPr>
                  <w:r>
                    <w:rPr>
                      <w:rFonts w:hint="eastAsia"/>
                      <w:b/>
                      <w:color w:val="984806" w:themeColor="accent6" w:themeShade="80"/>
                      <w:sz w:val="32"/>
                      <w:szCs w:val="32"/>
                    </w:rPr>
                    <w:t>产业经济</w:t>
                  </w:r>
                </w:p>
              </w:txbxContent>
            </v:textbox>
          </v:shape>
        </w:pict>
      </w:r>
    </w:p>
    <w:p w:rsidR="00C84E18" w:rsidRPr="00752C50" w:rsidRDefault="00EA0B99" w:rsidP="00C35B45">
      <w:pPr>
        <w:spacing w:beforeLines="120" w:afterLines="50" w:line="390" w:lineRule="exact"/>
        <w:ind w:firstLine="482"/>
        <w:jc w:val="center"/>
        <w:rPr>
          <w:rFonts w:ascii="黑体" w:eastAsia="黑体" w:hAnsi="黑体" w:cs="宋体"/>
          <w:b/>
          <w:color w:val="4F6228" w:themeColor="accent3" w:themeShade="80"/>
          <w:sz w:val="30"/>
          <w:szCs w:val="30"/>
        </w:rPr>
      </w:pPr>
      <w:r>
        <w:rPr>
          <w:rFonts w:ascii="华文仿宋" w:eastAsia="华文仿宋" w:hAnsi="华文仿宋" w:cs="华文仿宋" w:hint="eastAsia"/>
          <w:b/>
          <w:bCs/>
          <w:color w:val="004773"/>
          <w:sz w:val="24"/>
          <w:szCs w:val="24"/>
        </w:rPr>
        <w:br/>
      </w:r>
      <w:r w:rsidR="00C84E18" w:rsidRPr="00752C50">
        <w:rPr>
          <w:rFonts w:ascii="黑体" w:eastAsia="黑体" w:hAnsi="黑体" w:cs="宋体"/>
          <w:b/>
          <w:color w:val="4F6228" w:themeColor="accent3" w:themeShade="80"/>
          <w:sz w:val="30"/>
          <w:szCs w:val="30"/>
        </w:rPr>
        <w:t>专家研讨创建现代林业产业示范区</w:t>
      </w:r>
    </w:p>
    <w:p w:rsidR="00C84E18" w:rsidRPr="00DD0CD9" w:rsidRDefault="009028D1" w:rsidP="00C84E18">
      <w:pPr>
        <w:spacing w:line="390" w:lineRule="exact"/>
        <w:ind w:firstLineChars="200" w:firstLine="480"/>
        <w:rPr>
          <w:rFonts w:ascii="华文仿宋" w:eastAsia="华文仿宋" w:hAnsi="华文仿宋" w:cs="Calibri"/>
          <w:b/>
          <w:color w:val="000000"/>
          <w:sz w:val="24"/>
          <w:szCs w:val="24"/>
        </w:rPr>
      </w:pPr>
      <w:r>
        <w:rPr>
          <w:rFonts w:ascii="华文仿宋" w:eastAsia="华文仿宋" w:hAnsi="华文仿宋" w:cs="宋体"/>
          <w:b/>
          <w:color w:val="000000"/>
          <w:sz w:val="24"/>
          <w:szCs w:val="24"/>
          <w:shd w:val="clear" w:color="auto" w:fill="FFFFFF"/>
        </w:rPr>
        <w:t>日前，创建现代林业产业示范区专家座谈会</w:t>
      </w:r>
      <w:r w:rsidR="00C84E18" w:rsidRPr="00DD0CD9">
        <w:rPr>
          <w:rFonts w:ascii="华文仿宋" w:eastAsia="华文仿宋" w:hAnsi="华文仿宋" w:cs="宋体"/>
          <w:b/>
          <w:color w:val="000000"/>
          <w:sz w:val="24"/>
          <w:szCs w:val="24"/>
          <w:shd w:val="clear" w:color="auto" w:fill="FFFFFF"/>
        </w:rPr>
        <w:t>召开，重点围绕现代林业产业的内涵、特征指标以及示范区创建目标、路径等进行了研讨。</w:t>
      </w:r>
    </w:p>
    <w:p w:rsidR="00C84E18" w:rsidRPr="00DD0CD9" w:rsidRDefault="00C84E18" w:rsidP="00C84E18">
      <w:pPr>
        <w:spacing w:line="390" w:lineRule="exact"/>
        <w:ind w:firstLineChars="200" w:firstLine="480"/>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专家认为，创建现代林业产业示范区，是示范引领林业产业现代化的重要手段和必然路径。林业产业现代化必须与国家现代化协同推进、主动作为，厚植生态底色、贡献绿色财富、繁荣生态文化，以林业产业现代化和高质量发展推进林业现代化、促进乡村振兴、建设生态文明。</w:t>
      </w:r>
    </w:p>
    <w:p w:rsidR="00C84E18" w:rsidRPr="00DD0CD9" w:rsidRDefault="00C84E18" w:rsidP="00C84E18">
      <w:pPr>
        <w:spacing w:line="390" w:lineRule="exact"/>
        <w:ind w:firstLineChars="200" w:firstLine="480"/>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会上，专家介绍了以“大基地、大加工、大流通、大科技、大服务”为特征的现代农业产业园区和以“设施化、园区化、融合化、绿色化、数字化”为特征的农业现代化示范区的创建思路和成功经验，为现代林业产业示范区制度设计提供了有益参考。</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专家建议，创建现代林业产业示范区，要充分考虑资源培育、木竹加工、木本油料、经济林果、苗木花卉、森林旅游等重点林业产业的区域特征和实际情况，科学设置指标体系，精准开展创建活动，切实发挥示范作用，全面营造社会氛围，引领形成全国林业产业现代化梯次推进的主基调、大格局。</w:t>
      </w:r>
    </w:p>
    <w:p w:rsidR="00C84E18" w:rsidRPr="00DD0CD9" w:rsidRDefault="00C84E18" w:rsidP="00C84E18">
      <w:pPr>
        <w:spacing w:line="390" w:lineRule="exact"/>
        <w:ind w:firstLineChars="200" w:firstLine="480"/>
        <w:rPr>
          <w:rFonts w:ascii="华文仿宋" w:eastAsia="华文仿宋" w:hAnsi="华文仿宋" w:cs="宋体"/>
          <w:b/>
          <w:color w:val="000000"/>
          <w:sz w:val="24"/>
          <w:szCs w:val="24"/>
          <w:shd w:val="clear" w:color="auto" w:fill="FFFFFF"/>
        </w:rPr>
      </w:pPr>
      <w:r w:rsidRPr="00DD0CD9">
        <w:rPr>
          <w:rFonts w:ascii="华文仿宋" w:eastAsia="华文仿宋" w:hAnsi="华文仿宋" w:cs="宋体"/>
          <w:b/>
          <w:color w:val="000000"/>
          <w:sz w:val="24"/>
          <w:szCs w:val="24"/>
          <w:shd w:val="clear" w:color="auto" w:fill="FFFFFF"/>
        </w:rPr>
        <w:t>2021年中央1号文件《中共中央 国务院关于全面推进乡村振兴加快农业农村现代化的意见》明确提出“创建现代林业产业示范区”。国家林草局认真贯彻落实党中央、国务院的重要决策部署，分别与江西省人民政府、广西壮族自治区人民政府共建现代林业产业示范省（区），联合印发了实施方案，并将启动实施局省共建现代林业产业示范区工作列为今年下半年重点工作。在此基础上，进一步建立健全现代林业产业示范区创制度体系，积极稳妥推进县市层面现代林业产业示范区创建活动。</w:t>
      </w:r>
    </w:p>
    <w:p w:rsidR="00C84E18" w:rsidRDefault="00C84E18" w:rsidP="00C35B45">
      <w:pPr>
        <w:spacing w:beforeLines="50" w:afterLines="50" w:line="390" w:lineRule="exact"/>
        <w:jc w:val="center"/>
        <w:rPr>
          <w:rFonts w:ascii="黑体" w:eastAsia="黑体" w:hAnsi="黑体" w:cs="宋体"/>
          <w:b/>
          <w:color w:val="4F6228" w:themeColor="accent3" w:themeShade="80"/>
          <w:sz w:val="30"/>
          <w:szCs w:val="30"/>
        </w:rPr>
      </w:pPr>
      <w:r w:rsidRPr="00752C50">
        <w:rPr>
          <w:rFonts w:ascii="黑体" w:eastAsia="黑体" w:hAnsi="黑体" w:cs="宋体"/>
          <w:b/>
          <w:color w:val="4F6228" w:themeColor="accent3" w:themeShade="80"/>
          <w:sz w:val="30"/>
          <w:szCs w:val="30"/>
        </w:rPr>
        <w:t>林草可为中药高质量发展作出独特贡献</w:t>
      </w:r>
    </w:p>
    <w:p w:rsidR="00C84E18" w:rsidRPr="00752C50" w:rsidRDefault="00C84E18" w:rsidP="00C84E18">
      <w:pPr>
        <w:spacing w:line="390" w:lineRule="exact"/>
        <w:ind w:firstLineChars="200" w:firstLine="480"/>
        <w:rPr>
          <w:rFonts w:ascii="黑体" w:eastAsia="黑体" w:hAnsi="黑体" w:cs="宋体"/>
          <w:b/>
          <w:color w:val="4F6228" w:themeColor="accent3" w:themeShade="80"/>
          <w:sz w:val="30"/>
          <w:szCs w:val="30"/>
        </w:rPr>
      </w:pPr>
      <w:r w:rsidRPr="00DD0CD9">
        <w:rPr>
          <w:rFonts w:ascii="华文仿宋" w:eastAsia="华文仿宋" w:hAnsi="华文仿宋" w:cs="宋体"/>
          <w:b/>
          <w:color w:val="000000"/>
          <w:sz w:val="24"/>
          <w:szCs w:val="24"/>
          <w:shd w:val="clear" w:color="auto" w:fill="FFFFFF"/>
        </w:rPr>
        <w:t>“林草部门拥有丰富、独特的中药资源宝库，在中药高质量发展中可发挥重要作用。”这是专家们7月14日在北京召开的国家中药科学监管大会上的一个共识。</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专家指出，林地、草地是我国绝大多数药用植物的自然繁衍地，《药典》收载的许多药材主要源自森林和草原，发挥林草资源优势，通过生态种植、野生抚育和仿野生栽培等生态培育方式生产中药材，可提供安全、高效、绿色、有机的优质药材，为我国中药高质量发展作出贡献。</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国家中药科学监管大会主题为“保安全守底线、促发展追高线，深化审评审批改革，推动中药高质量发展”。会上宣布成立中药管理战略决策专家咨询委员会，发布《2021国家中药监管蓝皮书》，蓝皮书显示2021年我国中药总体质量状况良好。会议提出，各部门需要加强改革协同，合力推进中药材种植和质量管理，建设中药全链条追溯体系，进一步推进中药高质量发展。</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lastRenderedPageBreak/>
        <w:t xml:space="preserve">　　会议由中国健康传媒集团主办，国家药品监督管理局指导，国家林业和草原局、国家发展和改革委员会、科学技术部、农业农村部、国家医疗保障局、国家中医药管理局联合指导。会议采取线上线下结合的方式，共计约30万人次在线观看直播。</w:t>
      </w:r>
    </w:p>
    <w:p w:rsidR="00C84E18" w:rsidRPr="00752C50" w:rsidRDefault="00C84E18" w:rsidP="00C35B45">
      <w:pPr>
        <w:spacing w:beforeLines="50" w:afterLines="50" w:line="390" w:lineRule="exact"/>
        <w:jc w:val="center"/>
        <w:rPr>
          <w:rFonts w:ascii="黑体" w:eastAsia="黑体" w:hAnsi="黑体" w:cs="宋体"/>
          <w:b/>
          <w:color w:val="4F6228" w:themeColor="accent3" w:themeShade="80"/>
          <w:sz w:val="30"/>
          <w:szCs w:val="30"/>
        </w:rPr>
      </w:pPr>
      <w:r w:rsidRPr="00752C50">
        <w:rPr>
          <w:rFonts w:ascii="黑体" w:eastAsia="黑体" w:hAnsi="黑体" w:cs="宋体"/>
          <w:b/>
          <w:color w:val="4F6228" w:themeColor="accent3" w:themeShade="80"/>
          <w:sz w:val="30"/>
          <w:szCs w:val="30"/>
        </w:rPr>
        <w:t>经济林产业标准化在支撑引领中成长</w:t>
      </w:r>
    </w:p>
    <w:p w:rsidR="00C84E18" w:rsidRPr="00DD0CD9" w:rsidRDefault="00C84E18" w:rsidP="00C84E18">
      <w:pPr>
        <w:spacing w:line="390" w:lineRule="exact"/>
        <w:ind w:firstLineChars="200" w:firstLine="480"/>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我国是经济林种植大国，经济林种植面积及产品总量均居世界首位。截至2021年，全国经济林种植面积超过6亿亩，年产量超过2亿吨，产值超过2.2万亿元。产品包括核桃、榛子、枣等干鲜果品，油茶、文冠果等木本油料，花椒、肉桂等木本香调料，桐油、橡胶等工业原料，以及厚朴、杜仲等林源药材，经济林产业发展已涉及食品、粮油、化工、医药等多个领域。</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古人云：“不以规矩，不能成方圆。”经济林产业发展离不开标准化工作的引领、创新和规范。经济林产业标准化工作始终以服务国家需要和支撑引领产业发展为宗旨，随着国家战略需求和发展形势变化不断调整方向，促进经济林产业实现特有的生态、经济和社会效益。</w:t>
      </w:r>
    </w:p>
    <w:p w:rsidR="00C84E18" w:rsidRPr="0052690C" w:rsidRDefault="00C84E18" w:rsidP="00C84E18">
      <w:pPr>
        <w:spacing w:line="390" w:lineRule="exact"/>
        <w:rPr>
          <w:rFonts w:ascii="黑体" w:eastAsia="黑体" w:hAnsi="华文仿宋" w:cs="Calibri"/>
          <w:color w:val="000000"/>
          <w:sz w:val="24"/>
          <w:szCs w:val="24"/>
        </w:rPr>
      </w:pPr>
      <w:r w:rsidRPr="00DD0CD9">
        <w:rPr>
          <w:rFonts w:ascii="华文仿宋" w:eastAsia="华文仿宋" w:hAnsi="华文仿宋" w:cs="宋体"/>
          <w:b/>
          <w:color w:val="000000"/>
          <w:sz w:val="24"/>
          <w:szCs w:val="24"/>
          <w:shd w:val="clear" w:color="auto" w:fill="FFFFFF"/>
        </w:rPr>
        <w:t xml:space="preserve">　　</w:t>
      </w:r>
      <w:r w:rsidR="00D37BE7">
        <w:rPr>
          <w:rFonts w:ascii="华文仿宋" w:eastAsia="华文仿宋" w:hAnsi="华文仿宋" w:cs="宋体" w:hint="eastAsia"/>
          <w:b/>
          <w:color w:val="000000"/>
          <w:sz w:val="24"/>
          <w:szCs w:val="24"/>
          <w:shd w:val="clear" w:color="auto" w:fill="FFFFFF"/>
        </w:rPr>
        <w:t>一、</w:t>
      </w:r>
      <w:r w:rsidRPr="0052690C">
        <w:rPr>
          <w:rFonts w:ascii="黑体" w:eastAsia="黑体" w:hAnsi="华文仿宋" w:cs="宋体" w:hint="eastAsia"/>
          <w:color w:val="000000"/>
          <w:sz w:val="24"/>
          <w:szCs w:val="24"/>
          <w:shd w:val="clear" w:color="auto" w:fill="FFFFFF"/>
        </w:rPr>
        <w:t>承前启后</w:t>
      </w:r>
      <w:r w:rsidRPr="0052690C">
        <w:rPr>
          <w:rFonts w:ascii="华文仿宋" w:eastAsia="黑体" w:hAnsi="华文仿宋" w:cs="宋体" w:hint="eastAsia"/>
          <w:color w:val="000000"/>
          <w:sz w:val="24"/>
          <w:szCs w:val="24"/>
          <w:shd w:val="clear" w:color="auto" w:fill="FFFFFF"/>
        </w:rPr>
        <w:t> </w:t>
      </w:r>
      <w:r w:rsidRPr="0052690C">
        <w:rPr>
          <w:rFonts w:ascii="黑体" w:eastAsia="黑体" w:hAnsi="华文仿宋" w:cs="宋体" w:hint="eastAsia"/>
          <w:color w:val="000000"/>
          <w:sz w:val="24"/>
          <w:szCs w:val="24"/>
          <w:shd w:val="clear" w:color="auto" w:fill="FFFFFF"/>
        </w:rPr>
        <w:t>开创新局面</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我国于2001年加入世界贸易组织（WTO）之后，为应对国内外市场变化，增强国内产品的国际竞争力，同时也为了满足人民日益提高的生活水平以及对产品质量的新需求，一些重要产品的质量标准应运而生。《核桃坚果质量等级》《仁用杏杏仁质量等级》《柿子产品质量等级》《鲜枣质量等级》等一批主要经济林产品质量分级标准在这个时期发布实施。经济林专家王玉柱等提出：“经济林果质量的优劣深受生产者、经营者、消费者和外贸部门的关注，不同产品质量应有不同的价格，划分经济林果的质量等级，按质取价，既能体现公平交易，又能避免经济损失。”随着“森林食品”概念的提出，以食用林产品质量为导向的经济林产业标准化随之成为关注点。</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我国经济林领域的标准化工作起步稍晚。2000年前后，仅有几项国家标准和行业标准，内容单薄，尚不构成体系。通过几年的创新探索，经济林领域新增国家标准11项、林业行业标准18项。2015年，在国家标准化管理委员会和国家林业局的支持下，全国经济林产品标准化技术委员会（SAC/TC557）获批成立。经济林标委会成立后，我国经济林产业标准化建设迎来快速发展时期。</w:t>
      </w:r>
    </w:p>
    <w:p w:rsidR="00C84E18" w:rsidRPr="00DD0CD9" w:rsidRDefault="00C84E18" w:rsidP="00C84E18">
      <w:pPr>
        <w:spacing w:line="390" w:lineRule="exact"/>
        <w:ind w:firstLineChars="200" w:firstLine="480"/>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十三五”以来，全国经济林产品标准化技术委员会归口管理和发布标准共184项，其中国家标准9项、林业行业标准175项；正在制修订的国家标准15项。经济林标委会始终坚持“支撑产业发展，引领市场需求”的原则，积极组织申报市场急需、特色鲜明、技术支撑的国家标准和林业行业标准。为应对郑州商品交易所红枣上市交易需求，紧急组织开展《免洗红枣》（GB/T 26150-2019）、《灰枣》（GB/T 40634-2021）和《骏枣》（GB/T 40492-2021）等相关标准的制修订工作，为新疆、河南、河北等地超过700万亩近90亿元产值的红枣种植及健康发展提供了标准支撑；针对近亿亩中国核桃种植产业，组织修订了《核桃坚果质量等级》（GB/T 20398-2021）国家标准，</w:t>
      </w:r>
      <w:r w:rsidRPr="00DD0CD9">
        <w:rPr>
          <w:rFonts w:ascii="华文仿宋" w:eastAsia="华文仿宋" w:hAnsi="华文仿宋" w:cs="宋体"/>
          <w:b/>
          <w:color w:val="000000"/>
          <w:sz w:val="24"/>
          <w:szCs w:val="24"/>
          <w:shd w:val="clear" w:color="auto" w:fill="FFFFFF"/>
        </w:rPr>
        <w:lastRenderedPageBreak/>
        <w:t>以及包括种植至采收全产业链的《核桃》（LY/T 3004-2018）行业标准，在陕西、新疆、云南、四川等核桃种植大省（区）得到应用推广，有力推进了我国核桃产业产、供、销一体化发展和产业转型升级。</w:t>
      </w:r>
    </w:p>
    <w:p w:rsidR="00C84E18" w:rsidRPr="00752C50" w:rsidRDefault="00C84E18" w:rsidP="00C84E18">
      <w:pPr>
        <w:spacing w:line="390" w:lineRule="exact"/>
        <w:rPr>
          <w:rFonts w:ascii="黑体" w:eastAsia="黑体" w:hAnsi="华文仿宋" w:cs="Calibri"/>
          <w:color w:val="000000"/>
          <w:sz w:val="24"/>
          <w:szCs w:val="24"/>
        </w:rPr>
      </w:pPr>
      <w:r w:rsidRPr="00DD0CD9">
        <w:rPr>
          <w:rFonts w:ascii="华文仿宋" w:eastAsia="华文仿宋" w:hAnsi="华文仿宋" w:cs="宋体"/>
          <w:b/>
          <w:color w:val="000000"/>
          <w:sz w:val="24"/>
          <w:szCs w:val="24"/>
          <w:shd w:val="clear" w:color="auto" w:fill="FFFFFF"/>
        </w:rPr>
        <w:t xml:space="preserve">　　</w:t>
      </w:r>
      <w:r w:rsidR="00D37BE7">
        <w:rPr>
          <w:rFonts w:ascii="华文仿宋" w:eastAsia="华文仿宋" w:hAnsi="华文仿宋" w:cs="宋体" w:hint="eastAsia"/>
          <w:b/>
          <w:color w:val="000000"/>
          <w:sz w:val="24"/>
          <w:szCs w:val="24"/>
          <w:shd w:val="clear" w:color="auto" w:fill="FFFFFF"/>
        </w:rPr>
        <w:t>二、</w:t>
      </w:r>
      <w:r w:rsidRPr="00752C50">
        <w:rPr>
          <w:rFonts w:ascii="黑体" w:eastAsia="黑体" w:hAnsi="华文仿宋" w:cs="宋体" w:hint="eastAsia"/>
          <w:color w:val="000000"/>
          <w:sz w:val="24"/>
          <w:szCs w:val="24"/>
          <w:shd w:val="clear" w:color="auto" w:fill="FFFFFF"/>
        </w:rPr>
        <w:t>引领发展</w:t>
      </w:r>
      <w:r w:rsidRPr="00752C50">
        <w:rPr>
          <w:rFonts w:ascii="华文仿宋" w:eastAsia="黑体" w:hAnsi="华文仿宋" w:cs="宋体" w:hint="eastAsia"/>
          <w:color w:val="000000"/>
          <w:sz w:val="24"/>
          <w:szCs w:val="24"/>
          <w:shd w:val="clear" w:color="auto" w:fill="FFFFFF"/>
        </w:rPr>
        <w:t> </w:t>
      </w:r>
      <w:r w:rsidRPr="00752C50">
        <w:rPr>
          <w:rFonts w:ascii="黑体" w:eastAsia="黑体" w:hAnsi="华文仿宋" w:cs="宋体" w:hint="eastAsia"/>
          <w:color w:val="000000"/>
          <w:sz w:val="24"/>
          <w:szCs w:val="24"/>
          <w:shd w:val="clear" w:color="auto" w:fill="FFFFFF"/>
        </w:rPr>
        <w:t>构建新体系</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经济林标委会自成立以来，一直秉持“引领市场良性发展，推动产业标准提升，实现产品优质优价”的原则。所谓“良品需良法”，就是优质的经济林产品生产还需标准化的生产经营技术支撑。在经济林产品质量等级标准制定后，涉及良种选育、苗木分级、栽培技术、施肥采收等各个生产环节的标准逐步制定，形成了“种苗—栽培—经营—采收—产品质量”的标准体系。随着国家对经济林培育与产业结构调整的新要求，以“服务市场需求，提升产业核心竞争力”为目的，标委会在原标准体系的基础上，开展经济林产品领域标准梳理工作，先后组织4次归口国家标准和林业行业标准的清理整合、复评审等工作，构建了经济林产品领域标准体系并实现动态调整。</w:t>
      </w:r>
    </w:p>
    <w:p w:rsidR="00C84E18" w:rsidRPr="00DD0CD9" w:rsidRDefault="00C84E18" w:rsidP="00C84E18">
      <w:pPr>
        <w:spacing w:line="390" w:lineRule="exact"/>
        <w:ind w:firstLineChars="200" w:firstLine="480"/>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2021年底，以控制数量、提升质量，提升标准“有用、管用、好用”的体系建设原则，进一步优化经济林产品领域标准体系，形成了包括基础通用、管理服务、干果坚果林、鲜果林、油料林、香调料林、工业原料林、林源药材及产品和其他等九大类60个主干标准的《经济林产品领域标准体系》。标准体系梳理整合了经济林产品育种、栽培、采收、粗加工、储运等全产业链的各个生产环节；产品覆盖核桃、枣、栗、仁用杏和柿等大宗经济林产品，银杏、香榧、榛子和澳洲坚果等特色经济林产品，油茶、油橄榄和文冠果等木本油料作物，花椒、八角和桂皮等木本香调料，以及杜仲、厚朴等林源药材和林下经济作物。我国逐步形成了国家标准规定基本要求、行业标准提出通用技术、地方标准体现地方特色的“三级标准协同体系”。</w:t>
      </w:r>
    </w:p>
    <w:p w:rsidR="00C84E18" w:rsidRPr="00752C50" w:rsidRDefault="00C84E18" w:rsidP="00C84E18">
      <w:pPr>
        <w:spacing w:line="390" w:lineRule="exact"/>
        <w:rPr>
          <w:rFonts w:ascii="黑体" w:eastAsia="黑体" w:hAnsi="华文仿宋" w:cs="Calibri"/>
          <w:color w:val="000000"/>
          <w:sz w:val="24"/>
          <w:szCs w:val="24"/>
        </w:rPr>
      </w:pPr>
      <w:r w:rsidRPr="00DD0CD9">
        <w:rPr>
          <w:rFonts w:ascii="华文仿宋" w:eastAsia="华文仿宋" w:hAnsi="华文仿宋" w:cs="宋体"/>
          <w:b/>
          <w:color w:val="000000"/>
          <w:sz w:val="24"/>
          <w:szCs w:val="24"/>
          <w:shd w:val="clear" w:color="auto" w:fill="FFFFFF"/>
        </w:rPr>
        <w:t xml:space="preserve">　　</w:t>
      </w:r>
      <w:r w:rsidR="00D37BE7">
        <w:rPr>
          <w:rFonts w:ascii="华文仿宋" w:eastAsia="华文仿宋" w:hAnsi="华文仿宋" w:cs="宋体" w:hint="eastAsia"/>
          <w:b/>
          <w:color w:val="000000"/>
          <w:sz w:val="24"/>
          <w:szCs w:val="24"/>
          <w:shd w:val="clear" w:color="auto" w:fill="FFFFFF"/>
        </w:rPr>
        <w:t>三、</w:t>
      </w:r>
      <w:r w:rsidRPr="00752C50">
        <w:rPr>
          <w:rFonts w:ascii="黑体" w:eastAsia="黑体" w:hAnsi="华文仿宋" w:cs="宋体" w:hint="eastAsia"/>
          <w:color w:val="000000"/>
          <w:sz w:val="24"/>
          <w:szCs w:val="24"/>
          <w:shd w:val="clear" w:color="auto" w:fill="FFFFFF"/>
        </w:rPr>
        <w:t>审时度势</w:t>
      </w:r>
      <w:r w:rsidRPr="00752C50">
        <w:rPr>
          <w:rFonts w:ascii="华文仿宋" w:eastAsia="黑体" w:hAnsi="华文仿宋" w:cs="宋体" w:hint="eastAsia"/>
          <w:color w:val="000000"/>
          <w:sz w:val="24"/>
          <w:szCs w:val="24"/>
          <w:shd w:val="clear" w:color="auto" w:fill="FFFFFF"/>
        </w:rPr>
        <w:t> </w:t>
      </w:r>
      <w:r w:rsidRPr="00752C50">
        <w:rPr>
          <w:rFonts w:ascii="黑体" w:eastAsia="黑体" w:hAnsi="华文仿宋" w:cs="宋体" w:hint="eastAsia"/>
          <w:color w:val="000000"/>
          <w:sz w:val="24"/>
          <w:szCs w:val="24"/>
          <w:shd w:val="clear" w:color="auto" w:fill="FFFFFF"/>
        </w:rPr>
        <w:t>谋划新发展</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2008年，国家提出大力发展油茶产业，以保障国家粮油安全。当时的油茶林以老油茶树为主，出油差、产量低。谭晓峰、袁德义、马锦林、姚小华、陈永忠等油茶专家深知：唯有标准化生产才是油茶产业“脱胎换骨”实现高质量发展的“秘方”。在油茶专家的带领下，科研工作者结合生产实际，先后制定、发布、实施了《油茶良种选育技术》《油茶苗木质量分级》《油茶栽培技术规程》《油茶整形修剪技术规程》《油茶低产林改造技术》《油茶高接换冠技术规程》《油茶果采后处理技术规程》《油茶籽》等一系列油茶生产相关的标准，有效保障了油茶产业的良性发展。截至2019年底，全国油茶种植面积超过6800万亩，其中新增2000多万亩，完成低产林改造1500多万亩。茶籽和茶油产量分别为263万吨和65万吨，全国油茶产业总产值1024亿元。</w:t>
      </w:r>
    </w:p>
    <w:p w:rsidR="00C84E18" w:rsidRPr="00DD0CD9" w:rsidRDefault="00C84E18" w:rsidP="00C84E18">
      <w:pPr>
        <w:spacing w:line="390" w:lineRule="exact"/>
        <w:rPr>
          <w:rFonts w:ascii="华文仿宋" w:eastAsia="华文仿宋" w:hAnsi="华文仿宋" w:cs="宋体"/>
          <w:b/>
          <w:color w:val="000000"/>
          <w:sz w:val="24"/>
          <w:szCs w:val="24"/>
          <w:shd w:val="clear" w:color="auto" w:fill="FFFFFF"/>
        </w:rPr>
      </w:pPr>
      <w:r w:rsidRPr="00DD0CD9">
        <w:rPr>
          <w:rFonts w:ascii="华文仿宋" w:eastAsia="华文仿宋" w:hAnsi="华文仿宋" w:cs="宋体"/>
          <w:b/>
          <w:color w:val="000000"/>
          <w:sz w:val="24"/>
          <w:szCs w:val="24"/>
          <w:shd w:val="clear" w:color="auto" w:fill="FFFFFF"/>
        </w:rPr>
        <w:t xml:space="preserve">　　在新时期，经济林标准化工作将结合国家标准化体系建设工程和林草标准化“十四五”任务，继续立足于服务产业发展，促进生态建设，规范产品质量和拓展市场空间，结合相关经济林产业发展规划，重点转向经济林产品质量标准及全产业链标准化规范，着力解决“重要经济林树种低产林改造技术和评价标准化”“特色经济林产品全产业链标准化体系构建”等问题。随着“向耕地草原森林海洋、向植物动物微生物</w:t>
      </w:r>
      <w:r w:rsidRPr="00DD0CD9">
        <w:rPr>
          <w:rFonts w:ascii="华文仿宋" w:eastAsia="华文仿宋" w:hAnsi="华文仿宋" w:cs="宋体"/>
          <w:b/>
          <w:color w:val="000000"/>
          <w:sz w:val="24"/>
          <w:szCs w:val="24"/>
          <w:shd w:val="clear" w:color="auto" w:fill="FFFFFF"/>
        </w:rPr>
        <w:lastRenderedPageBreak/>
        <w:t>要热量、要蛋白，全方位多途径开发食物资源”的“大食物观”的提出，以及“双碳”目标的提出，兼具生态、经济和社会效益的经济林在新时期又迎来了新的挑战。全国经济林产业标准化工作将紧紧围绕“经济林效益评价”“森林食品系列标准”“林下经济标准化”等多个热点和重点，建立科学的标准化体系，推动高质量标准化建设，从而推进经济林产业高质量发展。</w:t>
      </w:r>
    </w:p>
    <w:p w:rsidR="00C84E18" w:rsidRPr="00DD0CD9" w:rsidRDefault="00C84E18" w:rsidP="00C35B45">
      <w:pPr>
        <w:spacing w:beforeLines="50" w:afterLines="50" w:line="390" w:lineRule="exact"/>
        <w:jc w:val="center"/>
        <w:rPr>
          <w:rFonts w:ascii="华文仿宋" w:eastAsia="华文仿宋" w:hAnsi="华文仿宋" w:cs="黑体"/>
          <w:b/>
          <w:color w:val="4F6228" w:themeColor="accent3" w:themeShade="80"/>
          <w:sz w:val="24"/>
          <w:szCs w:val="24"/>
          <w:shd w:val="clear" w:color="auto" w:fill="FFFFFF"/>
        </w:rPr>
      </w:pPr>
      <w:r w:rsidRPr="00752C50">
        <w:rPr>
          <w:rFonts w:ascii="黑体" w:eastAsia="黑体" w:hAnsi="黑体" w:cs="宋体"/>
          <w:b/>
          <w:color w:val="4F6228" w:themeColor="accent3" w:themeShade="80"/>
          <w:sz w:val="30"/>
          <w:szCs w:val="30"/>
        </w:rPr>
        <w:t>南京林业大学鼓励教师服务企业</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近日，南京林业大学携手宁夏佰斯特医药化工有限公司创立林草病虫害防治药物联合创新中心，其中企业出资500万元。</w:t>
      </w:r>
    </w:p>
    <w:p w:rsidR="00C84E18" w:rsidRPr="00DD0CD9" w:rsidRDefault="00C84E18" w:rsidP="00C84E18">
      <w:pPr>
        <w:spacing w:line="390" w:lineRule="exact"/>
        <w:ind w:firstLineChars="200" w:firstLine="480"/>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南林大持续推动校企合作，共解行业难题。今年3月，南林大化学工程学院出台《2022年社会服务项目培育基金实施方案（草案）》，学院出资50余万元，引导和扶持教师深入生产一线。每位教授至少联系和服务两家企业，每个科研团队至少支撑和服务一个行业知名企业。此项工作启动后，广大教师尤其是中青年教师纷纷与企业展开洽谈，仅两个月便签约技术合作项目12项。</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南林大化学工程学院的制度与资金扶持同时吸引了企业对学校研发团队的投资，推动完善了学校产学研协同创新长效机制。今年，化工学院已分别与宁夏佰斯特医药化工有限公司、南京森奇新材料科技有限公司、浙江欧诗漫集团公司等企业建立院企科技创新中心长期合作机制，3个项目得到企业投资2250万元，为学院教师潜心开展原创技术研发提供了更好的机制和更多的资金支持。</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围绕产业需要、企业生产实践需要开展技术研发、技术攻关，南林大化工学院近年来开展得风生水起。教师们还携手校林学院、材料学院、土木学院等兄弟学院教师进行跨学科技术攻关，让林源生物活性物与医药技术等一项项技术在企业落地推广。</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企业也是高校人才培养的舞台。近年来，南林大与大亚科技集团、德华集团等企业合作，建设了507个校外实习基地和联合实验室。</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在南林大，老师带着学生一起下企业蔚然成风。在老师的指导下，学生带着项目到企业去做，在工厂一呆就是几个星期。通过在企业实验室和车间的积累，学生解决技术问题的能力迅速提高，使学用得到有效衔接，实现了产教深度融合、校企生共赢。</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2002年2月，南林大余世袁教授带领团队成员5人，利用自主创制的生物技术在江苏省东台市扶持创建了全国首家低聚木糖饲料添加剂生产企业——江苏康维生物有限公司。</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在公司近20年的生产运行过程中，团队师生始终坚持在企业生产车间、新技术研发和市场技术支持一线，扶持企业从无到有、发展壮大，成为我国功能性低聚木糖饲料添加剂的行业领军企业。目前，企业低聚木糖饲料添加剂系列产品行销全国，每年为养殖行业增收超亿元。</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安徽黄山新远科技股份有限公司是黄山市的龙头企业，而在20世纪90年代，它还是一家运营艰难的小微化工企业。2001年，南林大教授朱新宝带着环氧树脂生产技</w:t>
      </w:r>
      <w:r w:rsidRPr="00DD0CD9">
        <w:rPr>
          <w:rFonts w:ascii="华文仿宋" w:eastAsia="华文仿宋" w:hAnsi="华文仿宋" w:cs="宋体"/>
          <w:b/>
          <w:color w:val="000000"/>
          <w:sz w:val="24"/>
          <w:szCs w:val="24"/>
          <w:shd w:val="clear" w:color="auto" w:fill="FFFFFF"/>
        </w:rPr>
        <w:lastRenderedPageBreak/>
        <w:t>术来到公司。“从开始只有一个车间做环氧材料，到产品规划、实验室建设，我帮助公司一步步走了过来。”朱新宝说。他还为黄山市化工产业发展、化工园区进行规划。2011年，黄山市颁发给朱新宝“黄山市科技合作奖”，这是该市授予个人唯一的科技合作奖。</w:t>
      </w:r>
    </w:p>
    <w:p w:rsidR="00C84E18" w:rsidRPr="00DD0CD9" w:rsidRDefault="00C84E18" w:rsidP="00C84E18">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此外，朱新宝还带领团队推出上百个科研新品，均实现工业化生产，研究成果撬动每年10亿元级的市场份额。</w:t>
      </w:r>
    </w:p>
    <w:p w:rsidR="00C84E18" w:rsidRPr="00DD0CD9" w:rsidRDefault="00C84E18" w:rsidP="00C84E18">
      <w:pPr>
        <w:widowControl/>
        <w:shd w:val="clear" w:color="auto" w:fill="FFFFFF"/>
        <w:spacing w:line="390" w:lineRule="exact"/>
        <w:outlineLvl w:val="1"/>
        <w:rPr>
          <w:rFonts w:ascii="华文仿宋" w:eastAsia="华文仿宋" w:hAnsi="华文仿宋" w:cs="宋体"/>
          <w:bCs/>
          <w:color w:val="76923C" w:themeColor="accent3" w:themeShade="BF"/>
          <w:kern w:val="0"/>
          <w:sz w:val="24"/>
          <w:szCs w:val="24"/>
        </w:rPr>
      </w:pPr>
      <w:r w:rsidRPr="00DD0CD9">
        <w:rPr>
          <w:rFonts w:ascii="华文仿宋" w:eastAsia="华文仿宋" w:hAnsi="华文仿宋" w:cs="宋体"/>
          <w:b/>
          <w:color w:val="000000"/>
          <w:sz w:val="24"/>
          <w:szCs w:val="24"/>
          <w:shd w:val="clear" w:color="auto" w:fill="FFFFFF"/>
        </w:rPr>
        <w:t xml:space="preserve">　　南林大教师的一个个成果诞生于企业、诞生于乡间，他们的民生情怀、家国情怀代代传承，在服务企业技术创新的道路上不断前行。</w:t>
      </w:r>
    </w:p>
    <w:p w:rsidR="00752C50" w:rsidRPr="00752C50" w:rsidRDefault="00752C50" w:rsidP="00C35B45">
      <w:pPr>
        <w:widowControl/>
        <w:shd w:val="clear" w:color="auto" w:fill="FFFFFF"/>
        <w:spacing w:beforeLines="50" w:afterLines="50" w:line="390" w:lineRule="exact"/>
        <w:jc w:val="center"/>
        <w:outlineLvl w:val="1"/>
        <w:rPr>
          <w:rFonts w:ascii="黑体" w:eastAsia="黑体" w:hAnsi="黑体" w:cs="宋体"/>
          <w:b/>
          <w:color w:val="4F6228" w:themeColor="accent3" w:themeShade="80"/>
          <w:sz w:val="30"/>
          <w:szCs w:val="30"/>
        </w:rPr>
      </w:pPr>
      <w:r w:rsidRPr="00752C50">
        <w:rPr>
          <w:rFonts w:ascii="黑体" w:eastAsia="黑体" w:hAnsi="黑体" w:cs="宋体" w:hint="eastAsia"/>
          <w:b/>
          <w:color w:val="4F6228" w:themeColor="accent3" w:themeShade="80"/>
          <w:sz w:val="30"/>
          <w:szCs w:val="30"/>
        </w:rPr>
        <w:t>吉林省千亿级梅花鹿产业招商推介会举办</w:t>
      </w:r>
    </w:p>
    <w:p w:rsidR="00752C50" w:rsidRPr="00DD0CD9" w:rsidRDefault="00752C50" w:rsidP="00752C50">
      <w:pPr>
        <w:widowControl/>
        <w:shd w:val="clear" w:color="auto" w:fill="FFFFFF"/>
        <w:spacing w:line="390" w:lineRule="exact"/>
        <w:ind w:firstLineChars="200" w:firstLine="480"/>
        <w:rPr>
          <w:rFonts w:ascii="华文仿宋" w:eastAsia="华文仿宋" w:hAnsi="华文仿宋" w:cs="宋体"/>
          <w:b/>
          <w:color w:val="000000"/>
          <w:kern w:val="0"/>
          <w:sz w:val="24"/>
          <w:szCs w:val="24"/>
        </w:rPr>
      </w:pPr>
      <w:r w:rsidRPr="00DD0CD9">
        <w:rPr>
          <w:rFonts w:ascii="华文仿宋" w:eastAsia="华文仿宋" w:hAnsi="华文仿宋" w:cs="宋体" w:hint="eastAsia"/>
          <w:b/>
          <w:color w:val="000000"/>
          <w:kern w:val="0"/>
          <w:sz w:val="24"/>
          <w:szCs w:val="24"/>
        </w:rPr>
        <w:t>7月28日，第十三届（2022）中国鹿业发展大会、中国吉林第二届梅花鹿产业发展大会暨吉林省千亿级梅花鹿产业招商推介大会在吉林省东丰县举行。会议主题为“鹿力同心谋发展 合作共赢创未来”，旨在打造吉林省千亿级梅花鹿产业，提升“吉林梅花鹿”品牌价值，以梅花鹿产业高质量发展带动乡村振兴。</w:t>
      </w:r>
    </w:p>
    <w:p w:rsidR="00752C50" w:rsidRPr="00DD0CD9" w:rsidRDefault="00752C50" w:rsidP="00752C50">
      <w:pPr>
        <w:widowControl/>
        <w:shd w:val="clear" w:color="auto" w:fill="FFFFFF"/>
        <w:spacing w:line="390" w:lineRule="exact"/>
        <w:rPr>
          <w:rFonts w:ascii="华文仿宋" w:eastAsia="华文仿宋" w:hAnsi="华文仿宋" w:cs="宋体"/>
          <w:b/>
          <w:color w:val="000000"/>
          <w:kern w:val="0"/>
          <w:sz w:val="24"/>
          <w:szCs w:val="24"/>
        </w:rPr>
      </w:pPr>
      <w:r w:rsidRPr="00DD0CD9">
        <w:rPr>
          <w:rFonts w:ascii="华文仿宋" w:eastAsia="华文仿宋" w:hAnsi="华文仿宋" w:cs="宋体" w:hint="eastAsia"/>
          <w:b/>
          <w:color w:val="000000"/>
          <w:kern w:val="0"/>
          <w:sz w:val="24"/>
          <w:szCs w:val="24"/>
        </w:rPr>
        <w:t xml:space="preserve">　　大会设东丰主会场和北京、广州两个分会场，采取线上线下相结合的方式进行，共有374家企业、2万余人参会。</w:t>
      </w:r>
    </w:p>
    <w:p w:rsidR="00752C50" w:rsidRPr="00DD0CD9" w:rsidRDefault="00752C50" w:rsidP="00752C50">
      <w:pPr>
        <w:widowControl/>
        <w:shd w:val="clear" w:color="auto" w:fill="FFFFFF"/>
        <w:spacing w:line="390" w:lineRule="exact"/>
        <w:rPr>
          <w:rFonts w:ascii="华文仿宋" w:eastAsia="华文仿宋" w:hAnsi="华文仿宋" w:cs="宋体"/>
          <w:b/>
          <w:color w:val="000000"/>
          <w:kern w:val="0"/>
          <w:sz w:val="24"/>
          <w:szCs w:val="24"/>
        </w:rPr>
      </w:pPr>
      <w:r w:rsidRPr="00DD0CD9">
        <w:rPr>
          <w:rFonts w:ascii="华文仿宋" w:eastAsia="华文仿宋" w:hAnsi="华文仿宋" w:cs="宋体" w:hint="eastAsia"/>
          <w:b/>
          <w:color w:val="000000"/>
          <w:kern w:val="0"/>
          <w:sz w:val="24"/>
          <w:szCs w:val="24"/>
        </w:rPr>
        <w:t xml:space="preserve">　　会议现场举行了云推介启动仪式，开展了线上线下宣传推介。经过推介招商，吉林省东鳌鹿业科技开发有限公司等10余家单位和企业达成合作意向，共签约6000万元梅花鹿产品供销合作项目、5000吨梅花鹿精深加工产品产销项目、数字化鹿产品生产超级工厂项目及零碳产业园项目。</w:t>
      </w:r>
    </w:p>
    <w:p w:rsidR="00752C50" w:rsidRPr="00DD0CD9" w:rsidRDefault="00752C50" w:rsidP="00752C50">
      <w:pPr>
        <w:spacing w:line="390" w:lineRule="exact"/>
        <w:rPr>
          <w:rFonts w:ascii="华文仿宋" w:eastAsia="华文仿宋" w:hAnsi="华文仿宋" w:cs="黑体"/>
          <w:b/>
          <w:color w:val="4F6228" w:themeColor="accent3" w:themeShade="80"/>
          <w:sz w:val="24"/>
          <w:szCs w:val="24"/>
          <w:shd w:val="clear" w:color="auto" w:fill="FFFFFF"/>
        </w:rPr>
      </w:pPr>
      <w:r w:rsidRPr="00DD0CD9">
        <w:rPr>
          <w:rFonts w:ascii="华文仿宋" w:eastAsia="华文仿宋" w:hAnsi="华文仿宋" w:cs="宋体" w:hint="eastAsia"/>
          <w:b/>
          <w:color w:val="000000"/>
          <w:kern w:val="0"/>
          <w:sz w:val="24"/>
          <w:szCs w:val="24"/>
        </w:rPr>
        <w:t xml:space="preserve">　　吉林省是我国梅花鹿养殖的发源地和主产区，素有“皇家鹿苑”之美誉。近年来，吉林省梅花鹿产业得到长足发展，全国8个梅花鹿品种，吉林占6个。2021年，全省梅花鹿饲养量60万只，占全国总量的一半以上。为打造千亿级梅花鹿产业，吉林省政府今年6月出台了《关于加快梅花鹿产业发展的意见》，全省力争用5年时间，发展梅花鹿养殖100万只，百只以上鹿场达到1000个，鹿茸年产量达到1000吨，全产业链产值达到1000亿元。</w:t>
      </w:r>
    </w:p>
    <w:p w:rsidR="00462205" w:rsidRDefault="00752C50" w:rsidP="00C35B45">
      <w:pPr>
        <w:spacing w:beforeLines="50" w:afterLines="50" w:line="390" w:lineRule="exact"/>
        <w:jc w:val="center"/>
        <w:rPr>
          <w:rFonts w:ascii="华文仿宋" w:eastAsia="华文仿宋" w:hAnsi="华文仿宋" w:cs="黑体"/>
          <w:b/>
          <w:color w:val="4F6228" w:themeColor="accent3" w:themeShade="80"/>
          <w:sz w:val="24"/>
          <w:szCs w:val="24"/>
          <w:shd w:val="clear" w:color="auto" w:fill="FFFFFF"/>
        </w:rPr>
      </w:pPr>
      <w:r w:rsidRPr="00752C50">
        <w:rPr>
          <w:rFonts w:ascii="黑体" w:eastAsia="黑体" w:hAnsi="黑体" w:cs="宋体"/>
          <w:b/>
          <w:color w:val="4F6228" w:themeColor="accent3" w:themeShade="80"/>
          <w:sz w:val="30"/>
          <w:szCs w:val="30"/>
        </w:rPr>
        <w:t>广西加快发展森林康养产业</w:t>
      </w:r>
    </w:p>
    <w:p w:rsidR="00752C50" w:rsidRPr="00462205" w:rsidRDefault="00462205" w:rsidP="00462205">
      <w:pPr>
        <w:spacing w:line="390" w:lineRule="exact"/>
        <w:rPr>
          <w:rFonts w:ascii="华文仿宋" w:eastAsia="华文仿宋" w:hAnsi="华文仿宋" w:cs="黑体"/>
          <w:b/>
          <w:color w:val="4F6228" w:themeColor="accent3" w:themeShade="80"/>
          <w:sz w:val="24"/>
          <w:szCs w:val="24"/>
          <w:shd w:val="clear" w:color="auto" w:fill="FFFFFF"/>
        </w:rPr>
      </w:pPr>
      <w:r>
        <w:rPr>
          <w:rFonts w:ascii="华文仿宋" w:eastAsia="华文仿宋" w:hAnsi="华文仿宋" w:cs="黑体" w:hint="eastAsia"/>
          <w:b/>
          <w:color w:val="4F6228" w:themeColor="accent3" w:themeShade="80"/>
          <w:sz w:val="24"/>
          <w:szCs w:val="24"/>
          <w:shd w:val="clear" w:color="auto" w:fill="FFFFFF"/>
        </w:rPr>
        <w:t xml:space="preserve">    </w:t>
      </w:r>
      <w:r w:rsidR="00752C50" w:rsidRPr="00DD0CD9">
        <w:rPr>
          <w:rFonts w:ascii="华文仿宋" w:eastAsia="华文仿宋" w:hAnsi="华文仿宋" w:cs="宋体"/>
          <w:b/>
          <w:color w:val="000000"/>
          <w:sz w:val="24"/>
          <w:szCs w:val="24"/>
          <w:shd w:val="clear" w:color="auto" w:fill="FFFFFF"/>
        </w:rPr>
        <w:t>“十四五”期间，广西壮族自治区将加快发展森林康养产业，计划到2025年，使森林康养年服务人数达5000万人次，森林康养年综合收入达1000亿元。</w:t>
      </w:r>
    </w:p>
    <w:p w:rsidR="00752C50" w:rsidRPr="00DD0CD9" w:rsidRDefault="00752C50" w:rsidP="00752C50">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广西将构建“三区三集群”的森林康养产业发展格局。“三区”，即南宁综合发展产业片区、桂林休闲旅游康养产业片区、巴马国际长寿养生产业片区；“三集群”，即桂东生态康养产业集群、北部湾滨海康养产业集群、桂中民族医药康养产业集群。到“十四五”期末，逐步建成集康复医疗、保健养生、休闲疗养、度假养老、研学教育、文化体验、运动健身等融合发展的森林康养产业体系，构建产品丰富、标准完善、管理有序、人才有保障的森林康养服务体系，将广西打造成为森林康养大省和世界级</w:t>
      </w:r>
      <w:r w:rsidRPr="00DD0CD9">
        <w:rPr>
          <w:rFonts w:ascii="华文仿宋" w:eastAsia="华文仿宋" w:hAnsi="华文仿宋" w:cs="宋体"/>
          <w:b/>
          <w:color w:val="000000"/>
          <w:sz w:val="24"/>
          <w:szCs w:val="24"/>
          <w:shd w:val="clear" w:color="auto" w:fill="FFFFFF"/>
        </w:rPr>
        <w:lastRenderedPageBreak/>
        <w:t>森林康养目的地。</w:t>
      </w:r>
    </w:p>
    <w:p w:rsidR="00752C50" w:rsidRPr="00DD0CD9" w:rsidRDefault="00752C50" w:rsidP="00752C50">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到2025年，广西将累计认定国家森林康养基地15个、广西森林康养基地60个、全国森林康养林场10处、森林康养基地服务体系建设试点15个、广西森林体验基地40个、星级森林人家100个、自然教育示范基地30个、职工疗休养基地60个。</w:t>
      </w:r>
    </w:p>
    <w:p w:rsidR="00752C50" w:rsidRPr="00DD0CD9" w:rsidRDefault="00752C50" w:rsidP="00752C50">
      <w:pPr>
        <w:spacing w:line="390" w:lineRule="exact"/>
        <w:rPr>
          <w:rFonts w:ascii="华文仿宋" w:eastAsia="华文仿宋" w:hAnsi="华文仿宋" w:cs="Calibri"/>
          <w:b/>
          <w:color w:val="000000"/>
          <w:sz w:val="24"/>
          <w:szCs w:val="24"/>
        </w:rPr>
      </w:pPr>
      <w:r w:rsidRPr="00DD0CD9">
        <w:rPr>
          <w:rFonts w:ascii="华文仿宋" w:eastAsia="华文仿宋" w:hAnsi="华文仿宋" w:cs="宋体"/>
          <w:b/>
          <w:color w:val="000000"/>
          <w:sz w:val="24"/>
          <w:szCs w:val="24"/>
          <w:shd w:val="clear" w:color="auto" w:fill="FFFFFF"/>
        </w:rPr>
        <w:t xml:space="preserve">　　“十三五”期间，广西大力发展生态旅游产业，共评定130家森林旅游系列品牌单位和18个森林生态文化旅游核心示范区，深度开发了一批特色鲜明的林业生态旅游基地，并在保健养生、康复疗养、健康养老、健康运动、健康教育等康养产品方面进行探索创新。</w:t>
      </w:r>
    </w:p>
    <w:p w:rsidR="00815989" w:rsidRDefault="00752C50" w:rsidP="00752C50">
      <w:pPr>
        <w:pStyle w:val="a7"/>
        <w:shd w:val="clear" w:color="auto" w:fill="FFFFFF"/>
        <w:spacing w:before="0" w:beforeAutospacing="0" w:after="0" w:afterAutospacing="0" w:line="390" w:lineRule="exact"/>
        <w:ind w:firstLine="482"/>
        <w:jc w:val="both"/>
        <w:rPr>
          <w:rFonts w:ascii="华文仿宋" w:eastAsia="华文仿宋" w:hAnsi="华文仿宋" w:cs="华文仿宋"/>
          <w:b/>
          <w:bCs/>
        </w:rPr>
      </w:pPr>
      <w:r w:rsidRPr="00DD0CD9">
        <w:rPr>
          <w:rFonts w:ascii="华文仿宋" w:eastAsia="华文仿宋" w:hAnsi="华文仿宋"/>
          <w:b/>
          <w:color w:val="000000"/>
          <w:shd w:val="clear" w:color="auto" w:fill="FFFFFF"/>
        </w:rPr>
        <w:t>多年来，广西加快植树造林，加强资源保护，实现森林面积、森林蓄积量和森林生态价值“三增长”。森林生态服务功能总价值达1.87万亿元，森林植被碳储量达5.11亿吨，相当于吸收储存二氧化碳18.8亿吨，为森林康养产业发展奠定了基础。</w:t>
      </w:r>
    </w:p>
    <w:p w:rsidR="00BA02A8" w:rsidRDefault="000B153B" w:rsidP="00BA02A8">
      <w:pPr>
        <w:pStyle w:val="a7"/>
        <w:shd w:val="clear" w:color="auto" w:fill="FFFFFF"/>
        <w:spacing w:before="0" w:beforeAutospacing="0" w:after="0" w:afterAutospacing="0" w:line="380" w:lineRule="exact"/>
        <w:ind w:firstLine="482"/>
        <w:jc w:val="both"/>
        <w:rPr>
          <w:rFonts w:ascii="华文仿宋" w:eastAsia="华文仿宋" w:hAnsi="华文仿宋" w:cs="华文仿宋"/>
          <w:b/>
          <w:bCs/>
        </w:rPr>
      </w:pPr>
      <w:r>
        <w:rPr>
          <w:rFonts w:ascii="华文仿宋" w:eastAsia="华文仿宋" w:hAnsi="华文仿宋" w:cs="华文仿宋"/>
          <w:b/>
          <w:bCs/>
          <w:noProof/>
        </w:rPr>
        <w:pict>
          <v:shape id="_x0000_s2108" type="#_x0000_t98" style="position:absolute;left:0;text-align:left;margin-left:-.85pt;margin-top:6.3pt;width:94.5pt;height:47.7pt;z-index:251666432">
            <v:textbox>
              <w:txbxContent>
                <w:p w:rsidR="00BE2D06" w:rsidRDefault="00BE2D06" w:rsidP="00BE2D06">
                  <w:pPr>
                    <w:rPr>
                      <w:b/>
                      <w:color w:val="984806" w:themeColor="accent6" w:themeShade="80"/>
                      <w:sz w:val="32"/>
                      <w:szCs w:val="32"/>
                    </w:rPr>
                  </w:pPr>
                  <w:r>
                    <w:rPr>
                      <w:rFonts w:hint="eastAsia"/>
                      <w:b/>
                      <w:color w:val="984806" w:themeColor="accent6" w:themeShade="80"/>
                      <w:sz w:val="32"/>
                      <w:szCs w:val="32"/>
                    </w:rPr>
                    <w:t>科普之窗</w:t>
                  </w:r>
                </w:p>
              </w:txbxContent>
            </v:textbox>
          </v:shape>
        </w:pict>
      </w:r>
    </w:p>
    <w:p w:rsidR="00815989" w:rsidRDefault="00815989">
      <w:pPr>
        <w:widowControl/>
        <w:spacing w:line="400" w:lineRule="exact"/>
        <w:rPr>
          <w:rFonts w:ascii="仿宋" w:eastAsia="仿宋" w:hAnsi="仿宋"/>
          <w:b/>
        </w:rPr>
      </w:pPr>
    </w:p>
    <w:p w:rsidR="00C84E18" w:rsidRDefault="00C84E18" w:rsidP="003E174E">
      <w:pPr>
        <w:spacing w:line="390" w:lineRule="exact"/>
        <w:jc w:val="center"/>
        <w:rPr>
          <w:rFonts w:ascii="黑体" w:eastAsia="黑体" w:hAnsi="黑体" w:cs="宋体"/>
          <w:b/>
          <w:color w:val="4F6228" w:themeColor="accent3" w:themeShade="80"/>
          <w:kern w:val="0"/>
          <w:sz w:val="30"/>
          <w:szCs w:val="30"/>
        </w:rPr>
      </w:pPr>
    </w:p>
    <w:p w:rsidR="00C84E18" w:rsidRPr="003E174E" w:rsidRDefault="00C84E18" w:rsidP="00C35B45">
      <w:pPr>
        <w:pStyle w:val="2"/>
        <w:shd w:val="clear" w:color="auto" w:fill="FFFFFF"/>
        <w:spacing w:before="0" w:beforeAutospacing="0" w:afterLines="50" w:afterAutospacing="0" w:line="390" w:lineRule="exact"/>
        <w:jc w:val="center"/>
        <w:rPr>
          <w:rFonts w:ascii="黑体" w:eastAsia="黑体" w:hAnsi="黑体"/>
          <w:b/>
          <w:color w:val="4F6228" w:themeColor="accent3" w:themeShade="80"/>
          <w:sz w:val="30"/>
          <w:szCs w:val="30"/>
        </w:rPr>
      </w:pPr>
      <w:r w:rsidRPr="003E174E">
        <w:rPr>
          <w:rFonts w:ascii="黑体" w:eastAsia="黑体" w:hAnsi="黑体" w:hint="eastAsia"/>
          <w:b/>
          <w:color w:val="4F6228" w:themeColor="accent3" w:themeShade="80"/>
          <w:sz w:val="30"/>
          <w:szCs w:val="30"/>
        </w:rPr>
        <w:t>国家林草局木材标本资源库成立</w:t>
      </w:r>
    </w:p>
    <w:p w:rsidR="00C84E18" w:rsidRPr="00DD0CD9" w:rsidRDefault="00C84E18" w:rsidP="00C84E18">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shd w:val="clear" w:color="auto" w:fill="FFFFFF"/>
        </w:rPr>
      </w:pPr>
      <w:r w:rsidRPr="00DD0CD9">
        <w:rPr>
          <w:rFonts w:ascii="华文仿宋" w:eastAsia="华文仿宋" w:hAnsi="华文仿宋" w:hint="eastAsia"/>
          <w:b/>
          <w:color w:val="000000"/>
          <w:shd w:val="clear" w:color="auto" w:fill="FFFFFF"/>
        </w:rPr>
        <w:t>日前，国家林业和草原局木材标本资源库在中国林科院揭牌成立。木材标本资源库将围绕国家重大战略需求，全方位布局我国木材标本资源收集、保藏和利用体系建设，全链条支撑林草及相关领域科技创新与服务。</w:t>
      </w:r>
    </w:p>
    <w:p w:rsidR="00C84E18" w:rsidRPr="00DD0CD9" w:rsidRDefault="00C84E18" w:rsidP="00C84E18">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shd w:val="clear" w:color="auto" w:fill="FFFFFF"/>
        </w:rPr>
      </w:pPr>
      <w:r w:rsidRPr="00DD0CD9">
        <w:rPr>
          <w:rFonts w:ascii="华文仿宋" w:eastAsia="华文仿宋" w:hAnsi="华文仿宋" w:hint="eastAsia"/>
          <w:b/>
          <w:color w:val="000000"/>
          <w:shd w:val="clear" w:color="auto" w:fill="FFFFFF"/>
        </w:rPr>
        <w:t>木材标本资源库是木材标本及其组织切片、DNA材料及数据信息等保存、研究和展示的场所，为林草科技创新提供了不可替代的基础资源。资源库以藏量居亚洲第一的中国林科院木材标本馆为核心，通过木材标本国家创新联盟等合作平台，联合国内高校、科研院所等单位，优化整合我国现有木材标本资源，展示我国资源优势和科技发展实力。</w:t>
      </w:r>
    </w:p>
    <w:p w:rsidR="00C84E18" w:rsidRPr="00DD0CD9" w:rsidRDefault="00C84E18" w:rsidP="00C84E18">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shd w:val="clear" w:color="auto" w:fill="FFFFFF"/>
        </w:rPr>
      </w:pPr>
      <w:r w:rsidRPr="00DD0CD9">
        <w:rPr>
          <w:rFonts w:ascii="华文仿宋" w:eastAsia="华文仿宋" w:hAnsi="华文仿宋" w:hint="eastAsia"/>
          <w:b/>
          <w:color w:val="000000"/>
          <w:shd w:val="clear" w:color="auto" w:fill="FFFFFF"/>
        </w:rPr>
        <w:t>国家林草局科技司对国家林草局木材标本资源库建设提出要求，瞄准世界一流木材标本资源库目标，强化标本资源增量建设，改善标本资源保藏条件，构建数字木材标本库，提升科技创新支撑能力，打造国家级木材标本科学数据共享服务平台和林草科普教育基地。</w:t>
      </w:r>
    </w:p>
    <w:p w:rsidR="00C84E18" w:rsidRPr="00DD0CD9" w:rsidRDefault="00C84E18" w:rsidP="00C84E18">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shd w:val="clear" w:color="auto" w:fill="FFFFFF"/>
        </w:rPr>
      </w:pPr>
      <w:r w:rsidRPr="00DD0CD9">
        <w:rPr>
          <w:rFonts w:ascii="华文仿宋" w:eastAsia="华文仿宋" w:hAnsi="华文仿宋" w:hint="eastAsia"/>
          <w:b/>
          <w:color w:val="000000"/>
          <w:shd w:val="clear" w:color="auto" w:fill="FFFFFF"/>
        </w:rPr>
        <w:t>揭牌成立当日还召开了国家木材标本资源库建设专家咨询会。与会专家从基础条件平台的发展格局、核心能力、资源利用与共享、交流与服务和人才队伍等方面提出建设性意见，鼓励要高标准高质量提升木材标本资源库建设，力争早日列入国家科技资源共享服务平台。</w:t>
      </w:r>
    </w:p>
    <w:p w:rsidR="003E174E" w:rsidRPr="003E174E" w:rsidRDefault="003E174E" w:rsidP="00C35B45">
      <w:pPr>
        <w:pStyle w:val="2"/>
        <w:shd w:val="clear" w:color="auto" w:fill="FFFFFF"/>
        <w:spacing w:beforeLines="50" w:beforeAutospacing="0" w:afterLines="50" w:afterAutospacing="0" w:line="390" w:lineRule="exact"/>
        <w:jc w:val="center"/>
        <w:rPr>
          <w:rFonts w:ascii="黑体" w:eastAsia="黑体" w:hAnsi="黑体"/>
          <w:b/>
          <w:color w:val="4F6228" w:themeColor="accent3" w:themeShade="80"/>
          <w:sz w:val="30"/>
          <w:szCs w:val="30"/>
        </w:rPr>
      </w:pPr>
      <w:r w:rsidRPr="003E174E">
        <w:rPr>
          <w:rFonts w:ascii="黑体" w:eastAsia="黑体" w:hAnsi="黑体"/>
          <w:b/>
          <w:color w:val="4F6228" w:themeColor="accent3" w:themeShade="80"/>
          <w:sz w:val="30"/>
          <w:szCs w:val="30"/>
        </w:rPr>
        <w:t>深入理解森林“四库” 精准提升森林质量</w:t>
      </w:r>
    </w:p>
    <w:p w:rsidR="003E174E" w:rsidRPr="00DD0CD9" w:rsidRDefault="003E174E" w:rsidP="003E174E">
      <w:pPr>
        <w:spacing w:line="390" w:lineRule="exact"/>
        <w:rPr>
          <w:rFonts w:ascii="华文仿宋" w:eastAsia="华文仿宋" w:hAnsi="华文仿宋" w:cs="Calibri"/>
          <w:b/>
          <w:sz w:val="24"/>
          <w:szCs w:val="24"/>
        </w:rPr>
      </w:pPr>
      <w:r w:rsidRPr="00DD0CD9">
        <w:rPr>
          <w:rFonts w:ascii="华文仿宋" w:eastAsia="华文仿宋" w:hAnsi="华文仿宋" w:cs="宋体"/>
          <w:b/>
          <w:sz w:val="24"/>
          <w:szCs w:val="24"/>
          <w:shd w:val="clear" w:color="auto" w:fill="FFFFFF"/>
        </w:rPr>
        <w:t xml:space="preserve">　　今年3月，习近平总书记在参加首都义务植树活动时强调，“森林是水库、钱库、粮库，现在应该再加上一个‘碳库’”，形成了森林“四库”论，为系统精准推进森林质量提升提供了行动指南。</w:t>
      </w:r>
    </w:p>
    <w:p w:rsidR="003E174E" w:rsidRPr="00DD0CD9" w:rsidRDefault="003E174E" w:rsidP="003E174E">
      <w:pPr>
        <w:spacing w:line="390" w:lineRule="exact"/>
        <w:rPr>
          <w:rFonts w:ascii="华文仿宋" w:eastAsia="华文仿宋" w:hAnsi="华文仿宋" w:cs="Calibri"/>
          <w:b/>
          <w:sz w:val="24"/>
          <w:szCs w:val="24"/>
        </w:rPr>
      </w:pPr>
      <w:r w:rsidRPr="00DD0CD9">
        <w:rPr>
          <w:rFonts w:ascii="华文仿宋" w:eastAsia="华文仿宋" w:hAnsi="华文仿宋" w:cs="宋体"/>
          <w:b/>
          <w:sz w:val="24"/>
          <w:szCs w:val="24"/>
          <w:shd w:val="clear" w:color="auto" w:fill="FFFFFF"/>
        </w:rPr>
        <w:lastRenderedPageBreak/>
        <w:t xml:space="preserve">　　森林“四库”论揭示了森林与水资源、物质财富、粮食、碳汇之间的内在必然有机联系。森林是“四库”的肌体，“四库”是森林多功能的实现载体。</w:t>
      </w:r>
    </w:p>
    <w:p w:rsidR="003E174E" w:rsidRPr="00DD0CD9" w:rsidRDefault="003E174E" w:rsidP="003E174E">
      <w:pPr>
        <w:spacing w:line="390" w:lineRule="exact"/>
        <w:rPr>
          <w:rFonts w:ascii="华文仿宋" w:eastAsia="华文仿宋" w:hAnsi="华文仿宋" w:cs="Calibri"/>
          <w:b/>
          <w:sz w:val="24"/>
          <w:szCs w:val="24"/>
        </w:rPr>
      </w:pPr>
      <w:r w:rsidRPr="00DD0CD9">
        <w:rPr>
          <w:rFonts w:ascii="华文仿宋" w:eastAsia="华文仿宋" w:hAnsi="华文仿宋" w:cs="宋体"/>
          <w:b/>
          <w:sz w:val="24"/>
          <w:szCs w:val="24"/>
          <w:shd w:val="clear" w:color="auto" w:fill="FFFFFF"/>
        </w:rPr>
        <w:t xml:space="preserve">　　森林是水库，具有涵养水源、保持水土的重要功能。“森林是最好的保水工具，是水的‘财政部’，也是造价最低廉的水库”，这是新中国成立后，首任林垦部部长梁希对于林水关系的深刻认识。森林是钱库，是绿色银行，是“金山银山”，也是广大林区山区群众实现共同富裕的重要物质基础。通过大力探索“两山”转化路径，已经涌现了“两山银行”“全域森林康养产业”“林业碳票”等一批典型案例和经验做法，促进了“生态美、百姓福”。森林是粮库，直接提供了山野菜、木本油料、林果、林饮、香料等众多食物资源，保障农田免受风蚀沙埋、促进小气候改善和确保粮食稳产高产，为保障粮食安全发挥了双重功能。森林是碳库，是陆地最大的生态系统碳库，对于应对气候变化具有不可替代的重要作用。继续实现森林面积和蓄积量的双增长是“双碳”工作中的一项重要内容，也是“双碳”工作的重要支撑。</w:t>
      </w:r>
    </w:p>
    <w:p w:rsidR="003E174E" w:rsidRPr="00DD0CD9" w:rsidRDefault="003E174E" w:rsidP="003E174E">
      <w:pPr>
        <w:spacing w:line="390" w:lineRule="exact"/>
        <w:rPr>
          <w:rFonts w:ascii="华文仿宋" w:eastAsia="华文仿宋" w:hAnsi="华文仿宋" w:cs="Calibri"/>
          <w:b/>
          <w:sz w:val="24"/>
          <w:szCs w:val="24"/>
        </w:rPr>
      </w:pPr>
      <w:r w:rsidRPr="00DD0CD9">
        <w:rPr>
          <w:rFonts w:ascii="华文仿宋" w:eastAsia="华文仿宋" w:hAnsi="华文仿宋" w:cs="宋体"/>
          <w:b/>
          <w:sz w:val="24"/>
          <w:szCs w:val="24"/>
          <w:shd w:val="clear" w:color="auto" w:fill="FFFFFF"/>
        </w:rPr>
        <w:t xml:space="preserve">　　森林“四库”论要求我们要统筹山水林田湖草沙系统治理，在森林质量提升中注重统筹兼顾、精准施策、多措并举。</w:t>
      </w:r>
    </w:p>
    <w:p w:rsidR="003E174E" w:rsidRPr="00DD0CD9" w:rsidRDefault="003E174E" w:rsidP="003E174E">
      <w:pPr>
        <w:spacing w:line="390" w:lineRule="exact"/>
        <w:rPr>
          <w:rFonts w:ascii="华文仿宋" w:eastAsia="华文仿宋" w:hAnsi="华文仿宋" w:cs="Calibri"/>
          <w:b/>
          <w:sz w:val="24"/>
          <w:szCs w:val="24"/>
        </w:rPr>
      </w:pPr>
      <w:r w:rsidRPr="00DD0CD9">
        <w:rPr>
          <w:rFonts w:ascii="华文仿宋" w:eastAsia="华文仿宋" w:hAnsi="华文仿宋" w:cs="宋体"/>
          <w:b/>
          <w:sz w:val="24"/>
          <w:szCs w:val="24"/>
          <w:shd w:val="clear" w:color="auto" w:fill="FFFFFF"/>
        </w:rPr>
        <w:t xml:space="preserve">　　建设森林水库要相关部门协同推进，实施大江大河源头、江河两岸湖泊周边、重要水利工程所在地的森林质量提升工程，通过跨流域、跨行业横向补偿，建立水利收益支持森林水库建设的反哺机制，建成一批功能强大、成效明显、影响面广的森林水库。建设森林钱库需要相关部门共同发力，建成森林生态产品生产制造、流通和消费体系，建立完善森林生态产品价值实现机制，建设一批“生态美、百姓富”的森林钱库示范点。建设森林粮库要建立森林食品标准化生产流通体系，积极创建品牌、培育市场，争取将林草机械纳入农机补贴体系，推进农田防护林质量提升，推动森林粮库扩规提质增效。建设森林碳库要完善林草碳汇方法学，建立健全林草碳汇监测和交易体系，将森林碳库建设作为“双碳”工作重点任务推进，提升森林碳库的固碳增汇功能。</w:t>
      </w:r>
    </w:p>
    <w:p w:rsidR="003E174E" w:rsidRPr="00DD0CD9" w:rsidRDefault="003E174E" w:rsidP="003E174E">
      <w:pPr>
        <w:spacing w:line="390" w:lineRule="exact"/>
        <w:rPr>
          <w:rFonts w:ascii="华文仿宋" w:eastAsia="华文仿宋" w:hAnsi="华文仿宋" w:cs="Calibri"/>
          <w:b/>
          <w:sz w:val="24"/>
          <w:szCs w:val="24"/>
        </w:rPr>
      </w:pPr>
      <w:r w:rsidRPr="00DD0CD9">
        <w:rPr>
          <w:rFonts w:ascii="华文仿宋" w:eastAsia="华文仿宋" w:hAnsi="华文仿宋" w:cs="宋体"/>
          <w:b/>
          <w:sz w:val="24"/>
          <w:szCs w:val="24"/>
          <w:shd w:val="clear" w:color="auto" w:fill="FFFFFF"/>
        </w:rPr>
        <w:t xml:space="preserve">　　森林“四库”论和森林质量精准提升行动将互相作用、彼此赋能。加速森林“四库”论的实践是全体林草人的共同责任，也是共同荣誉。森林“四库”论的实践具有艰巨性，需要全体林草人锲而不舍、驰而不息，深化林草体制机制改革，建立现代化的林草治理体系，助力建设和实现人与自然和谐共生的美丽中国。</w:t>
      </w:r>
    </w:p>
    <w:p w:rsidR="00BC774B" w:rsidRDefault="00BC774B" w:rsidP="00BC774B">
      <w:pPr>
        <w:pStyle w:val="a7"/>
        <w:spacing w:before="0" w:beforeAutospacing="0" w:after="0" w:afterAutospacing="0" w:line="390" w:lineRule="exact"/>
        <w:ind w:firstLine="480"/>
        <w:jc w:val="both"/>
        <w:rPr>
          <w:rFonts w:ascii="华文仿宋" w:eastAsia="华文仿宋" w:hAnsi="华文仿宋" w:cs="仿宋"/>
          <w:b/>
          <w:shd w:val="clear" w:color="auto" w:fill="FFFFFF"/>
        </w:rPr>
      </w:pPr>
    </w:p>
    <w:p w:rsidR="007F7773" w:rsidRDefault="007F7773" w:rsidP="00BC774B">
      <w:pPr>
        <w:pStyle w:val="a7"/>
        <w:spacing w:before="0" w:beforeAutospacing="0" w:after="0" w:afterAutospacing="0" w:line="390" w:lineRule="exact"/>
        <w:ind w:firstLine="480"/>
        <w:jc w:val="both"/>
        <w:rPr>
          <w:rFonts w:ascii="华文仿宋" w:eastAsia="华文仿宋" w:hAnsi="华文仿宋" w:cs="仿宋" w:hint="eastAsia"/>
          <w:b/>
          <w:shd w:val="clear" w:color="auto" w:fill="FFFFFF"/>
        </w:rPr>
      </w:pPr>
    </w:p>
    <w:p w:rsidR="00C35B45" w:rsidRPr="003E174E" w:rsidRDefault="00C35B45" w:rsidP="00BC774B">
      <w:pPr>
        <w:pStyle w:val="a7"/>
        <w:spacing w:before="0" w:beforeAutospacing="0" w:after="0" w:afterAutospacing="0" w:line="390" w:lineRule="exact"/>
        <w:ind w:firstLine="480"/>
        <w:jc w:val="both"/>
        <w:rPr>
          <w:rFonts w:ascii="华文仿宋" w:eastAsia="华文仿宋" w:hAnsi="华文仿宋" w:cs="仿宋"/>
          <w:b/>
          <w:shd w:val="clear" w:color="auto" w:fill="FFFFFF"/>
        </w:rPr>
      </w:pPr>
    </w:p>
    <w:p w:rsidR="00815989" w:rsidRDefault="000B153B">
      <w:pPr>
        <w:widowControl/>
        <w:spacing w:line="400" w:lineRule="exact"/>
        <w:ind w:firstLineChars="200" w:firstLine="480"/>
        <w:jc w:val="left"/>
        <w:rPr>
          <w:rFonts w:ascii="仿宋_GB2312" w:eastAsia="仿宋_GB2312" w:hAnsi="宋体" w:cs="宋体"/>
          <w:b/>
          <w:kern w:val="0"/>
          <w:sz w:val="24"/>
          <w:szCs w:val="24"/>
        </w:rPr>
      </w:pPr>
      <w:r w:rsidRPr="000B153B">
        <w:rPr>
          <w:rFonts w:asciiTheme="minorEastAsia" w:hAnsiTheme="minorEastAsia" w:cs="宋体"/>
          <w:kern w:val="0"/>
          <w:sz w:val="24"/>
          <w:szCs w:val="24"/>
        </w:rPr>
        <w:pict>
          <v:shape id="_x0000_s2068" type="#_x0000_t32" style="position:absolute;left:0;text-align:left;margin-left:.3pt;margin-top:10.3pt;width:440.25pt;height:3pt;flip:y;z-index:251661312" o:connectortype="straight"/>
        </w:pict>
      </w:r>
    </w:p>
    <w:p w:rsidR="00815989" w:rsidRDefault="00EA0B99">
      <w:pPr>
        <w:spacing w:line="440" w:lineRule="exact"/>
        <w:jc w:val="left"/>
        <w:rPr>
          <w:rFonts w:asciiTheme="minorEastAsia" w:hAnsiTheme="minorEastAsia" w:cs="宋体"/>
          <w:b/>
          <w:kern w:val="0"/>
          <w:sz w:val="24"/>
          <w:szCs w:val="24"/>
        </w:rPr>
      </w:pPr>
      <w:r>
        <w:rPr>
          <w:rFonts w:asciiTheme="minorEastAsia" w:hAnsiTheme="minorEastAsia" w:cs="宋体" w:hint="eastAsia"/>
          <w:b/>
          <w:kern w:val="0"/>
          <w:sz w:val="24"/>
          <w:szCs w:val="24"/>
        </w:rPr>
        <w:t xml:space="preserve">    主  编：姚露贤                  </w:t>
      </w:r>
      <w:r w:rsidR="004C25A8">
        <w:rPr>
          <w:rFonts w:asciiTheme="minorEastAsia" w:hAnsiTheme="minorEastAsia" w:cs="宋体" w:hint="eastAsia"/>
          <w:b/>
          <w:kern w:val="0"/>
          <w:sz w:val="24"/>
          <w:szCs w:val="24"/>
        </w:rPr>
        <w:t xml:space="preserve">      </w:t>
      </w:r>
      <w:r w:rsidR="00BC774B">
        <w:rPr>
          <w:rFonts w:asciiTheme="minorEastAsia" w:hAnsiTheme="minorEastAsia" w:cs="宋体" w:hint="eastAsia"/>
          <w:b/>
          <w:kern w:val="0"/>
          <w:sz w:val="24"/>
          <w:szCs w:val="24"/>
        </w:rPr>
        <w:t xml:space="preserve"> </w:t>
      </w:r>
      <w:r>
        <w:rPr>
          <w:rFonts w:asciiTheme="minorEastAsia" w:hAnsiTheme="minorEastAsia" w:cs="宋体" w:hint="eastAsia"/>
          <w:b/>
          <w:kern w:val="0"/>
          <w:sz w:val="24"/>
          <w:szCs w:val="24"/>
        </w:rPr>
        <w:t>责任编辑： 魏松艳    陈  玲</w:t>
      </w:r>
    </w:p>
    <w:p w:rsidR="00BE2D06" w:rsidRDefault="00EA0B99" w:rsidP="00BC774B">
      <w:pPr>
        <w:widowControl/>
        <w:spacing w:line="440" w:lineRule="exact"/>
        <w:rPr>
          <w:rFonts w:ascii="黑体" w:eastAsia="黑体" w:hAnsi="黑体" w:cs="仿宋"/>
          <w:b/>
          <w:sz w:val="30"/>
          <w:szCs w:val="30"/>
          <w:shd w:val="clear" w:color="auto" w:fill="FFFFFF"/>
        </w:rPr>
      </w:pPr>
      <w:r>
        <w:rPr>
          <w:rFonts w:asciiTheme="minorEastAsia" w:hAnsiTheme="minorEastAsia" w:cs="宋体" w:hint="eastAsia"/>
          <w:b/>
          <w:kern w:val="0"/>
          <w:sz w:val="24"/>
          <w:szCs w:val="24"/>
        </w:rPr>
        <w:t xml:space="preserve">    地</w:t>
      </w:r>
      <w:r w:rsidR="004C25A8">
        <w:rPr>
          <w:rFonts w:asciiTheme="minorEastAsia" w:hAnsiTheme="minorEastAsia" w:cs="宋体" w:hint="eastAsia"/>
          <w:b/>
          <w:kern w:val="0"/>
          <w:sz w:val="24"/>
          <w:szCs w:val="24"/>
        </w:rPr>
        <w:t xml:space="preserve">  </w:t>
      </w:r>
      <w:r>
        <w:rPr>
          <w:rFonts w:asciiTheme="minorEastAsia" w:hAnsiTheme="minorEastAsia" w:cs="宋体" w:hint="eastAsia"/>
          <w:b/>
          <w:kern w:val="0"/>
          <w:sz w:val="24"/>
          <w:szCs w:val="24"/>
        </w:rPr>
        <w:t xml:space="preserve">址：长春市经开区临河街3528号    </w:t>
      </w:r>
      <w:r w:rsidR="00BC774B">
        <w:rPr>
          <w:rFonts w:asciiTheme="minorEastAsia" w:hAnsiTheme="minorEastAsia" w:cs="宋体" w:hint="eastAsia"/>
          <w:b/>
          <w:kern w:val="0"/>
          <w:sz w:val="24"/>
          <w:szCs w:val="24"/>
        </w:rPr>
        <w:t xml:space="preserve"> </w:t>
      </w:r>
      <w:r>
        <w:rPr>
          <w:rFonts w:asciiTheme="minorEastAsia" w:hAnsiTheme="minorEastAsia" w:cs="宋体" w:hint="eastAsia"/>
          <w:b/>
          <w:kern w:val="0"/>
          <w:sz w:val="24"/>
          <w:szCs w:val="24"/>
        </w:rPr>
        <w:t xml:space="preserve"> 电话：0431- 85850400 </w:t>
      </w:r>
    </w:p>
    <w:sectPr w:rsidR="00BE2D06" w:rsidSect="00FB0A07">
      <w:footerReference w:type="default" r:id="rId9"/>
      <w:pgSz w:w="11906" w:h="16838"/>
      <w:pgMar w:top="1134" w:right="1416" w:bottom="1134" w:left="1644" w:header="851" w:footer="992" w:gutter="0"/>
      <w:pgNumType w:fmt="decimalFullWidth" w:chapStyle="1" w:chapSep="em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0446" w:rsidRDefault="006D0446" w:rsidP="00815989">
      <w:r>
        <w:separator/>
      </w:r>
    </w:p>
  </w:endnote>
  <w:endnote w:type="continuationSeparator" w:id="1">
    <w:p w:rsidR="006D0446" w:rsidRDefault="006D0446" w:rsidP="0081598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altName w:val="Arial Unicode MS"/>
    <w:panose1 w:val="02010609030101010101"/>
    <w:charset w:val="86"/>
    <w:family w:val="modern"/>
    <w:pitch w:val="fixed"/>
    <w:sig w:usb0="00000001" w:usb1="080E0000" w:usb2="00000010" w:usb3="00000000" w:csb0="00040000" w:csb1="00000000"/>
  </w:font>
  <w:font w:name="楷体_GB2312">
    <w:altName w:val="宋体"/>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altName w:val="Arial Unicode MS"/>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89493"/>
      <w:docPartObj>
        <w:docPartGallery w:val="Page Numbers (Bottom of Page)"/>
        <w:docPartUnique/>
      </w:docPartObj>
    </w:sdtPr>
    <w:sdtContent>
      <w:p w:rsidR="00FB0A07" w:rsidRDefault="00FB0A07">
        <w:pPr>
          <w:pStyle w:val="a4"/>
          <w:jc w:val="center"/>
        </w:pPr>
        <w:r>
          <w:rPr>
            <w:rFonts w:hint="eastAsia"/>
          </w:rPr>
          <w:t>—</w:t>
        </w:r>
        <w:r>
          <w:rPr>
            <w:rFonts w:hint="eastAsia"/>
          </w:rPr>
          <w:t xml:space="preserve"> </w:t>
        </w:r>
        <w:r w:rsidR="000B153B" w:rsidRPr="00FB0A07">
          <w:rPr>
            <w:rFonts w:ascii="Times New Roman" w:hAnsi="Times New Roman" w:cs="Times New Roman"/>
            <w:sz w:val="21"/>
            <w:szCs w:val="21"/>
          </w:rPr>
          <w:fldChar w:fldCharType="begin"/>
        </w:r>
        <w:r w:rsidRPr="00FB0A07">
          <w:rPr>
            <w:rFonts w:ascii="Times New Roman" w:hAnsi="Times New Roman" w:cs="Times New Roman"/>
            <w:sz w:val="21"/>
            <w:szCs w:val="21"/>
          </w:rPr>
          <w:instrText xml:space="preserve"> PAGE   \* MERGEFORMAT </w:instrText>
        </w:r>
        <w:r w:rsidR="000B153B" w:rsidRPr="00FB0A07">
          <w:rPr>
            <w:rFonts w:ascii="Times New Roman" w:hAnsi="Times New Roman" w:cs="Times New Roman"/>
            <w:sz w:val="21"/>
            <w:szCs w:val="21"/>
          </w:rPr>
          <w:fldChar w:fldCharType="separate"/>
        </w:r>
        <w:r w:rsidR="009028D1" w:rsidRPr="009028D1">
          <w:rPr>
            <w:rFonts w:ascii="Times New Roman" w:hAnsi="Times New Roman" w:cs="Times New Roman" w:hint="eastAsia"/>
            <w:noProof/>
            <w:sz w:val="21"/>
            <w:szCs w:val="21"/>
            <w:lang w:val="zh-CN"/>
          </w:rPr>
          <w:t>１０</w:t>
        </w:r>
        <w:r w:rsidR="000B153B" w:rsidRPr="00FB0A07">
          <w:rPr>
            <w:rFonts w:ascii="Times New Roman" w:hAnsi="Times New Roman" w:cs="Times New Roman"/>
            <w:sz w:val="21"/>
            <w:szCs w:val="21"/>
          </w:rPr>
          <w:fldChar w:fldCharType="end"/>
        </w:r>
        <w:r>
          <w:rPr>
            <w:rFonts w:ascii="Times New Roman" w:hAnsi="Times New Roman" w:cs="Times New Roman" w:hint="eastAsia"/>
            <w:sz w:val="21"/>
            <w:szCs w:val="21"/>
          </w:rPr>
          <w:t xml:space="preserve"> </w:t>
        </w:r>
        <w:r>
          <w:rPr>
            <w:rFonts w:hint="eastAsia"/>
          </w:rPr>
          <w:t>—</w:t>
        </w:r>
      </w:p>
    </w:sdtContent>
  </w:sdt>
  <w:p w:rsidR="009814DA" w:rsidRDefault="009814DA" w:rsidP="003D642E">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0446" w:rsidRDefault="006D0446" w:rsidP="00815989">
      <w:r>
        <w:separator/>
      </w:r>
    </w:p>
  </w:footnote>
  <w:footnote w:type="continuationSeparator" w:id="1">
    <w:p w:rsidR="006D0446" w:rsidRDefault="006D0446" w:rsidP="008159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53696"/>
    <w:multiLevelType w:val="multilevel"/>
    <w:tmpl w:val="B54E12AA"/>
    <w:lvl w:ilvl="0">
      <w:start w:val="1"/>
      <w:numFmt w:val="bullet"/>
      <w:lvlText w:val=""/>
      <w:lvlJc w:val="left"/>
      <w:pPr>
        <w:ind w:left="360" w:hanging="36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239F4550"/>
    <w:multiLevelType w:val="multilevel"/>
    <w:tmpl w:val="239F4550"/>
    <w:lvl w:ilvl="0">
      <w:start w:val="1"/>
      <w:numFmt w:val="bullet"/>
      <w:lvlText w:val="—"/>
      <w:lvlJc w:val="left"/>
      <w:pPr>
        <w:ind w:left="360" w:hanging="360"/>
      </w:pPr>
      <w:rPr>
        <w:rFonts w:ascii="宋体" w:eastAsia="宋体" w:hAnsi="宋体" w:cstheme="minorBidi"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725C000B"/>
    <w:multiLevelType w:val="hybridMultilevel"/>
    <w:tmpl w:val="0BA0480E"/>
    <w:lvl w:ilvl="0" w:tplc="97BEEE6A">
      <w:start w:val="19"/>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741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UyMjA4YzQ0NjljZTgzMzc4N2EzNzhlMzZlOGJkNWMifQ=="/>
  </w:docVars>
  <w:rsids>
    <w:rsidRoot w:val="00A10CA5"/>
    <w:rsid w:val="000005EA"/>
    <w:rsid w:val="00000A72"/>
    <w:rsid w:val="00001C24"/>
    <w:rsid w:val="00003F1E"/>
    <w:rsid w:val="00004E9B"/>
    <w:rsid w:val="00005931"/>
    <w:rsid w:val="000076F8"/>
    <w:rsid w:val="00007901"/>
    <w:rsid w:val="00010FF7"/>
    <w:rsid w:val="000123C4"/>
    <w:rsid w:val="000143A5"/>
    <w:rsid w:val="000150E3"/>
    <w:rsid w:val="00015AEE"/>
    <w:rsid w:val="00016579"/>
    <w:rsid w:val="00016E5E"/>
    <w:rsid w:val="000200E7"/>
    <w:rsid w:val="00024681"/>
    <w:rsid w:val="00026635"/>
    <w:rsid w:val="000269FB"/>
    <w:rsid w:val="00027C1A"/>
    <w:rsid w:val="000306E8"/>
    <w:rsid w:val="00033E85"/>
    <w:rsid w:val="00035F42"/>
    <w:rsid w:val="00036ACC"/>
    <w:rsid w:val="00036FFB"/>
    <w:rsid w:val="00041F45"/>
    <w:rsid w:val="0004248E"/>
    <w:rsid w:val="00042C65"/>
    <w:rsid w:val="0004322E"/>
    <w:rsid w:val="00045EC6"/>
    <w:rsid w:val="000520C3"/>
    <w:rsid w:val="00052687"/>
    <w:rsid w:val="00053048"/>
    <w:rsid w:val="000600C7"/>
    <w:rsid w:val="000619E3"/>
    <w:rsid w:val="00062740"/>
    <w:rsid w:val="00064E2C"/>
    <w:rsid w:val="000653EF"/>
    <w:rsid w:val="000661CB"/>
    <w:rsid w:val="00066430"/>
    <w:rsid w:val="000670F9"/>
    <w:rsid w:val="00067C3B"/>
    <w:rsid w:val="000705BD"/>
    <w:rsid w:val="00070BA3"/>
    <w:rsid w:val="000726F9"/>
    <w:rsid w:val="00072B6D"/>
    <w:rsid w:val="00072C31"/>
    <w:rsid w:val="00077334"/>
    <w:rsid w:val="000775EA"/>
    <w:rsid w:val="00080172"/>
    <w:rsid w:val="000804A0"/>
    <w:rsid w:val="00081AD7"/>
    <w:rsid w:val="00082198"/>
    <w:rsid w:val="00083312"/>
    <w:rsid w:val="00083524"/>
    <w:rsid w:val="00083697"/>
    <w:rsid w:val="0008391E"/>
    <w:rsid w:val="00083BAD"/>
    <w:rsid w:val="000840CD"/>
    <w:rsid w:val="000864BA"/>
    <w:rsid w:val="00086666"/>
    <w:rsid w:val="00087216"/>
    <w:rsid w:val="00091896"/>
    <w:rsid w:val="00092755"/>
    <w:rsid w:val="00094652"/>
    <w:rsid w:val="00096F3B"/>
    <w:rsid w:val="00097178"/>
    <w:rsid w:val="00097278"/>
    <w:rsid w:val="00097D09"/>
    <w:rsid w:val="000A11E6"/>
    <w:rsid w:val="000A192F"/>
    <w:rsid w:val="000A1B10"/>
    <w:rsid w:val="000A30CC"/>
    <w:rsid w:val="000A4DC3"/>
    <w:rsid w:val="000A57DF"/>
    <w:rsid w:val="000A6A76"/>
    <w:rsid w:val="000A7360"/>
    <w:rsid w:val="000A7406"/>
    <w:rsid w:val="000B0A84"/>
    <w:rsid w:val="000B0C04"/>
    <w:rsid w:val="000B153B"/>
    <w:rsid w:val="000B184E"/>
    <w:rsid w:val="000B1E4D"/>
    <w:rsid w:val="000B450D"/>
    <w:rsid w:val="000B608E"/>
    <w:rsid w:val="000B6DAA"/>
    <w:rsid w:val="000B7D1A"/>
    <w:rsid w:val="000C09EF"/>
    <w:rsid w:val="000C0C76"/>
    <w:rsid w:val="000C16E0"/>
    <w:rsid w:val="000C1DDE"/>
    <w:rsid w:val="000C33D7"/>
    <w:rsid w:val="000C345C"/>
    <w:rsid w:val="000C5AD4"/>
    <w:rsid w:val="000C5D3A"/>
    <w:rsid w:val="000D26F3"/>
    <w:rsid w:val="000D366B"/>
    <w:rsid w:val="000D4253"/>
    <w:rsid w:val="000D4C1E"/>
    <w:rsid w:val="000D5288"/>
    <w:rsid w:val="000D6656"/>
    <w:rsid w:val="000D6F7C"/>
    <w:rsid w:val="000D7F6F"/>
    <w:rsid w:val="000E1EF5"/>
    <w:rsid w:val="000E1F4F"/>
    <w:rsid w:val="000E2584"/>
    <w:rsid w:val="000E2DE8"/>
    <w:rsid w:val="000E5B31"/>
    <w:rsid w:val="000E659E"/>
    <w:rsid w:val="000E75DA"/>
    <w:rsid w:val="000E7668"/>
    <w:rsid w:val="000F0ABA"/>
    <w:rsid w:val="000F1FEB"/>
    <w:rsid w:val="000F2CD1"/>
    <w:rsid w:val="000F3BD5"/>
    <w:rsid w:val="000F481B"/>
    <w:rsid w:val="000F592A"/>
    <w:rsid w:val="000F6164"/>
    <w:rsid w:val="000F6813"/>
    <w:rsid w:val="000F7160"/>
    <w:rsid w:val="001003BB"/>
    <w:rsid w:val="0010145B"/>
    <w:rsid w:val="0010254D"/>
    <w:rsid w:val="001047D5"/>
    <w:rsid w:val="0010564D"/>
    <w:rsid w:val="00106A05"/>
    <w:rsid w:val="00106FC0"/>
    <w:rsid w:val="00112BFA"/>
    <w:rsid w:val="00114E46"/>
    <w:rsid w:val="00115EF1"/>
    <w:rsid w:val="00120DDA"/>
    <w:rsid w:val="001214D2"/>
    <w:rsid w:val="00122EEF"/>
    <w:rsid w:val="0012426D"/>
    <w:rsid w:val="00124B7F"/>
    <w:rsid w:val="0012750B"/>
    <w:rsid w:val="001303D8"/>
    <w:rsid w:val="0013205A"/>
    <w:rsid w:val="001320A2"/>
    <w:rsid w:val="0013292A"/>
    <w:rsid w:val="00132D62"/>
    <w:rsid w:val="00135B74"/>
    <w:rsid w:val="00136689"/>
    <w:rsid w:val="00137057"/>
    <w:rsid w:val="0014122D"/>
    <w:rsid w:val="001415C1"/>
    <w:rsid w:val="001417DE"/>
    <w:rsid w:val="00141D9D"/>
    <w:rsid w:val="001425D8"/>
    <w:rsid w:val="0014279B"/>
    <w:rsid w:val="00142D32"/>
    <w:rsid w:val="00142E42"/>
    <w:rsid w:val="0014318E"/>
    <w:rsid w:val="00144866"/>
    <w:rsid w:val="00144981"/>
    <w:rsid w:val="00146408"/>
    <w:rsid w:val="001469D3"/>
    <w:rsid w:val="00146B44"/>
    <w:rsid w:val="0015441D"/>
    <w:rsid w:val="00154424"/>
    <w:rsid w:val="001556AA"/>
    <w:rsid w:val="00156C4A"/>
    <w:rsid w:val="00157A26"/>
    <w:rsid w:val="00161B95"/>
    <w:rsid w:val="00163259"/>
    <w:rsid w:val="00165975"/>
    <w:rsid w:val="00165EC6"/>
    <w:rsid w:val="001671AA"/>
    <w:rsid w:val="00170086"/>
    <w:rsid w:val="00170318"/>
    <w:rsid w:val="0017075F"/>
    <w:rsid w:val="001715B0"/>
    <w:rsid w:val="00171C8A"/>
    <w:rsid w:val="00171D24"/>
    <w:rsid w:val="0017251A"/>
    <w:rsid w:val="0017257C"/>
    <w:rsid w:val="00172AEE"/>
    <w:rsid w:val="00173259"/>
    <w:rsid w:val="001734FF"/>
    <w:rsid w:val="001757F3"/>
    <w:rsid w:val="00181150"/>
    <w:rsid w:val="0018497B"/>
    <w:rsid w:val="001859EB"/>
    <w:rsid w:val="00185BEE"/>
    <w:rsid w:val="001870BD"/>
    <w:rsid w:val="00187677"/>
    <w:rsid w:val="00190C40"/>
    <w:rsid w:val="001910B5"/>
    <w:rsid w:val="00191741"/>
    <w:rsid w:val="00192C14"/>
    <w:rsid w:val="001935A6"/>
    <w:rsid w:val="00195204"/>
    <w:rsid w:val="00196E3F"/>
    <w:rsid w:val="001A02CB"/>
    <w:rsid w:val="001A39A0"/>
    <w:rsid w:val="001A475C"/>
    <w:rsid w:val="001A7C8D"/>
    <w:rsid w:val="001B03E5"/>
    <w:rsid w:val="001B04D1"/>
    <w:rsid w:val="001B0B07"/>
    <w:rsid w:val="001B1321"/>
    <w:rsid w:val="001B172C"/>
    <w:rsid w:val="001B1BFB"/>
    <w:rsid w:val="001B2518"/>
    <w:rsid w:val="001B2BC9"/>
    <w:rsid w:val="001B57EB"/>
    <w:rsid w:val="001B5A19"/>
    <w:rsid w:val="001B77D7"/>
    <w:rsid w:val="001B7A44"/>
    <w:rsid w:val="001C03C9"/>
    <w:rsid w:val="001C0E3F"/>
    <w:rsid w:val="001C20D0"/>
    <w:rsid w:val="001C2380"/>
    <w:rsid w:val="001C367F"/>
    <w:rsid w:val="001C445F"/>
    <w:rsid w:val="001C4547"/>
    <w:rsid w:val="001C6590"/>
    <w:rsid w:val="001C66BC"/>
    <w:rsid w:val="001C7814"/>
    <w:rsid w:val="001C7EBB"/>
    <w:rsid w:val="001D0E2D"/>
    <w:rsid w:val="001D132A"/>
    <w:rsid w:val="001D1762"/>
    <w:rsid w:val="001D5D11"/>
    <w:rsid w:val="001D5FF4"/>
    <w:rsid w:val="001D7A10"/>
    <w:rsid w:val="001E0D9C"/>
    <w:rsid w:val="001E1B23"/>
    <w:rsid w:val="001E1FD0"/>
    <w:rsid w:val="001E2474"/>
    <w:rsid w:val="001E2505"/>
    <w:rsid w:val="001E35B6"/>
    <w:rsid w:val="001E5416"/>
    <w:rsid w:val="001E5CE8"/>
    <w:rsid w:val="001E60BA"/>
    <w:rsid w:val="001E6C3F"/>
    <w:rsid w:val="001F014F"/>
    <w:rsid w:val="001F1596"/>
    <w:rsid w:val="001F1A45"/>
    <w:rsid w:val="001F3EA9"/>
    <w:rsid w:val="001F4F5B"/>
    <w:rsid w:val="001F5C2D"/>
    <w:rsid w:val="001F5E29"/>
    <w:rsid w:val="001F5FCA"/>
    <w:rsid w:val="001F7DAF"/>
    <w:rsid w:val="002003C1"/>
    <w:rsid w:val="00200AED"/>
    <w:rsid w:val="00200EA1"/>
    <w:rsid w:val="00201CDB"/>
    <w:rsid w:val="0020344F"/>
    <w:rsid w:val="00203527"/>
    <w:rsid w:val="00204C3F"/>
    <w:rsid w:val="002053F3"/>
    <w:rsid w:val="00205D92"/>
    <w:rsid w:val="00206C9C"/>
    <w:rsid w:val="002108A0"/>
    <w:rsid w:val="00210C30"/>
    <w:rsid w:val="00214406"/>
    <w:rsid w:val="0021546B"/>
    <w:rsid w:val="00216F29"/>
    <w:rsid w:val="00217EBE"/>
    <w:rsid w:val="0022174D"/>
    <w:rsid w:val="0022300E"/>
    <w:rsid w:val="0022375A"/>
    <w:rsid w:val="00224424"/>
    <w:rsid w:val="002245DF"/>
    <w:rsid w:val="00224853"/>
    <w:rsid w:val="00224AC9"/>
    <w:rsid w:val="002251A4"/>
    <w:rsid w:val="00225F1E"/>
    <w:rsid w:val="00226671"/>
    <w:rsid w:val="00227E59"/>
    <w:rsid w:val="00230EE7"/>
    <w:rsid w:val="00231D14"/>
    <w:rsid w:val="00235187"/>
    <w:rsid w:val="00236B75"/>
    <w:rsid w:val="002373E7"/>
    <w:rsid w:val="00240821"/>
    <w:rsid w:val="002414D7"/>
    <w:rsid w:val="00241D12"/>
    <w:rsid w:val="00244982"/>
    <w:rsid w:val="002450B0"/>
    <w:rsid w:val="002462EA"/>
    <w:rsid w:val="00246F7A"/>
    <w:rsid w:val="002475D2"/>
    <w:rsid w:val="002476F8"/>
    <w:rsid w:val="002502C6"/>
    <w:rsid w:val="00253C6C"/>
    <w:rsid w:val="00253CB8"/>
    <w:rsid w:val="0025534B"/>
    <w:rsid w:val="0025646A"/>
    <w:rsid w:val="00260069"/>
    <w:rsid w:val="002637B4"/>
    <w:rsid w:val="00263FF7"/>
    <w:rsid w:val="00265DAE"/>
    <w:rsid w:val="002666CA"/>
    <w:rsid w:val="002669DB"/>
    <w:rsid w:val="00272E35"/>
    <w:rsid w:val="00272E49"/>
    <w:rsid w:val="002731AD"/>
    <w:rsid w:val="00274FEE"/>
    <w:rsid w:val="0027556B"/>
    <w:rsid w:val="00275AE7"/>
    <w:rsid w:val="00275E6F"/>
    <w:rsid w:val="00275F5F"/>
    <w:rsid w:val="002764F5"/>
    <w:rsid w:val="002770B3"/>
    <w:rsid w:val="0028069F"/>
    <w:rsid w:val="002819E6"/>
    <w:rsid w:val="0028232E"/>
    <w:rsid w:val="0028281D"/>
    <w:rsid w:val="002828B0"/>
    <w:rsid w:val="002840EE"/>
    <w:rsid w:val="00284BB5"/>
    <w:rsid w:val="00284F0C"/>
    <w:rsid w:val="002864D7"/>
    <w:rsid w:val="002871FB"/>
    <w:rsid w:val="00290E6F"/>
    <w:rsid w:val="002910ED"/>
    <w:rsid w:val="002920EB"/>
    <w:rsid w:val="00293313"/>
    <w:rsid w:val="0029346F"/>
    <w:rsid w:val="00296D11"/>
    <w:rsid w:val="002A0A0C"/>
    <w:rsid w:val="002A1305"/>
    <w:rsid w:val="002A1806"/>
    <w:rsid w:val="002A1A7D"/>
    <w:rsid w:val="002A21F4"/>
    <w:rsid w:val="002A54BA"/>
    <w:rsid w:val="002A62A7"/>
    <w:rsid w:val="002A6797"/>
    <w:rsid w:val="002B4B30"/>
    <w:rsid w:val="002B4BB4"/>
    <w:rsid w:val="002C0680"/>
    <w:rsid w:val="002C06B8"/>
    <w:rsid w:val="002C0D5E"/>
    <w:rsid w:val="002C2597"/>
    <w:rsid w:val="002C2B20"/>
    <w:rsid w:val="002C55AD"/>
    <w:rsid w:val="002C6032"/>
    <w:rsid w:val="002C7449"/>
    <w:rsid w:val="002D0B22"/>
    <w:rsid w:val="002D4770"/>
    <w:rsid w:val="002D4F4E"/>
    <w:rsid w:val="002D6D53"/>
    <w:rsid w:val="002D7AF6"/>
    <w:rsid w:val="002E0AF9"/>
    <w:rsid w:val="002E321E"/>
    <w:rsid w:val="002E554A"/>
    <w:rsid w:val="002E78E5"/>
    <w:rsid w:val="002F18C2"/>
    <w:rsid w:val="002F269C"/>
    <w:rsid w:val="002F2915"/>
    <w:rsid w:val="002F4A92"/>
    <w:rsid w:val="002F545D"/>
    <w:rsid w:val="002F645E"/>
    <w:rsid w:val="002F6F68"/>
    <w:rsid w:val="002F6F89"/>
    <w:rsid w:val="002F7244"/>
    <w:rsid w:val="00300673"/>
    <w:rsid w:val="0030276F"/>
    <w:rsid w:val="00303CD9"/>
    <w:rsid w:val="003053BA"/>
    <w:rsid w:val="003072F0"/>
    <w:rsid w:val="00307A07"/>
    <w:rsid w:val="0031051C"/>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08AA"/>
    <w:rsid w:val="00321230"/>
    <w:rsid w:val="003226DC"/>
    <w:rsid w:val="003229F8"/>
    <w:rsid w:val="00323E9C"/>
    <w:rsid w:val="0032477D"/>
    <w:rsid w:val="0032540A"/>
    <w:rsid w:val="003270DD"/>
    <w:rsid w:val="00330DA0"/>
    <w:rsid w:val="0033175D"/>
    <w:rsid w:val="00332C75"/>
    <w:rsid w:val="00335AE8"/>
    <w:rsid w:val="00335C30"/>
    <w:rsid w:val="00336BA5"/>
    <w:rsid w:val="0033773C"/>
    <w:rsid w:val="00340525"/>
    <w:rsid w:val="003428E9"/>
    <w:rsid w:val="003429C9"/>
    <w:rsid w:val="00344F8C"/>
    <w:rsid w:val="00345438"/>
    <w:rsid w:val="00350889"/>
    <w:rsid w:val="003518BB"/>
    <w:rsid w:val="00351AC9"/>
    <w:rsid w:val="00351EDD"/>
    <w:rsid w:val="003527FC"/>
    <w:rsid w:val="00353178"/>
    <w:rsid w:val="00354942"/>
    <w:rsid w:val="0035554B"/>
    <w:rsid w:val="00355659"/>
    <w:rsid w:val="00355ACD"/>
    <w:rsid w:val="00355F2D"/>
    <w:rsid w:val="00356DDB"/>
    <w:rsid w:val="003576E7"/>
    <w:rsid w:val="00360BAA"/>
    <w:rsid w:val="0036274B"/>
    <w:rsid w:val="00364555"/>
    <w:rsid w:val="00364ABD"/>
    <w:rsid w:val="00364E88"/>
    <w:rsid w:val="003702EC"/>
    <w:rsid w:val="003710A7"/>
    <w:rsid w:val="00372567"/>
    <w:rsid w:val="0037304B"/>
    <w:rsid w:val="00374C6B"/>
    <w:rsid w:val="00375173"/>
    <w:rsid w:val="00375FB6"/>
    <w:rsid w:val="00383749"/>
    <w:rsid w:val="0038385D"/>
    <w:rsid w:val="0038393B"/>
    <w:rsid w:val="00383966"/>
    <w:rsid w:val="00383C17"/>
    <w:rsid w:val="00384496"/>
    <w:rsid w:val="00386CC5"/>
    <w:rsid w:val="00390395"/>
    <w:rsid w:val="00390E2D"/>
    <w:rsid w:val="00391252"/>
    <w:rsid w:val="00392C17"/>
    <w:rsid w:val="00392E00"/>
    <w:rsid w:val="003948E4"/>
    <w:rsid w:val="00394BBF"/>
    <w:rsid w:val="003959F7"/>
    <w:rsid w:val="00397141"/>
    <w:rsid w:val="003A0310"/>
    <w:rsid w:val="003A0B2C"/>
    <w:rsid w:val="003A0C55"/>
    <w:rsid w:val="003A30CB"/>
    <w:rsid w:val="003A7C43"/>
    <w:rsid w:val="003A7C4C"/>
    <w:rsid w:val="003A7F5D"/>
    <w:rsid w:val="003B0946"/>
    <w:rsid w:val="003B1B33"/>
    <w:rsid w:val="003B20E5"/>
    <w:rsid w:val="003B2294"/>
    <w:rsid w:val="003B32BB"/>
    <w:rsid w:val="003B3A84"/>
    <w:rsid w:val="003B3D16"/>
    <w:rsid w:val="003B3D7E"/>
    <w:rsid w:val="003B42A2"/>
    <w:rsid w:val="003B45F0"/>
    <w:rsid w:val="003B6FE0"/>
    <w:rsid w:val="003C020C"/>
    <w:rsid w:val="003C056C"/>
    <w:rsid w:val="003C3835"/>
    <w:rsid w:val="003C48D8"/>
    <w:rsid w:val="003C4D92"/>
    <w:rsid w:val="003C6FF0"/>
    <w:rsid w:val="003D182D"/>
    <w:rsid w:val="003D2EF8"/>
    <w:rsid w:val="003D31C0"/>
    <w:rsid w:val="003D39AC"/>
    <w:rsid w:val="003D55B2"/>
    <w:rsid w:val="003D642E"/>
    <w:rsid w:val="003D66E7"/>
    <w:rsid w:val="003D6B4E"/>
    <w:rsid w:val="003D764B"/>
    <w:rsid w:val="003E1144"/>
    <w:rsid w:val="003E1147"/>
    <w:rsid w:val="003E174E"/>
    <w:rsid w:val="003E1DB9"/>
    <w:rsid w:val="003E2DB2"/>
    <w:rsid w:val="003E3603"/>
    <w:rsid w:val="003E3C56"/>
    <w:rsid w:val="003E5EFE"/>
    <w:rsid w:val="003E789E"/>
    <w:rsid w:val="003F20F8"/>
    <w:rsid w:val="003F284C"/>
    <w:rsid w:val="003F2B30"/>
    <w:rsid w:val="003F3C6D"/>
    <w:rsid w:val="003F5D31"/>
    <w:rsid w:val="003F7092"/>
    <w:rsid w:val="0040209B"/>
    <w:rsid w:val="00402163"/>
    <w:rsid w:val="004026C1"/>
    <w:rsid w:val="00402946"/>
    <w:rsid w:val="00406BC0"/>
    <w:rsid w:val="0040720C"/>
    <w:rsid w:val="004076DF"/>
    <w:rsid w:val="00407BB0"/>
    <w:rsid w:val="00410619"/>
    <w:rsid w:val="004112AB"/>
    <w:rsid w:val="004112B6"/>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594E"/>
    <w:rsid w:val="004271DB"/>
    <w:rsid w:val="0043176B"/>
    <w:rsid w:val="00431851"/>
    <w:rsid w:val="00431B9B"/>
    <w:rsid w:val="004330E2"/>
    <w:rsid w:val="004333F9"/>
    <w:rsid w:val="00436AB0"/>
    <w:rsid w:val="00436E57"/>
    <w:rsid w:val="00437637"/>
    <w:rsid w:val="00440738"/>
    <w:rsid w:val="0044108B"/>
    <w:rsid w:val="00441573"/>
    <w:rsid w:val="00442F03"/>
    <w:rsid w:val="00444128"/>
    <w:rsid w:val="00444C12"/>
    <w:rsid w:val="00445F1F"/>
    <w:rsid w:val="00447331"/>
    <w:rsid w:val="00450D5D"/>
    <w:rsid w:val="00453615"/>
    <w:rsid w:val="004541CB"/>
    <w:rsid w:val="00454656"/>
    <w:rsid w:val="004565D3"/>
    <w:rsid w:val="00457F39"/>
    <w:rsid w:val="0046069B"/>
    <w:rsid w:val="004610A3"/>
    <w:rsid w:val="0046193C"/>
    <w:rsid w:val="00462205"/>
    <w:rsid w:val="00462484"/>
    <w:rsid w:val="004643F6"/>
    <w:rsid w:val="00464F2B"/>
    <w:rsid w:val="00465BEC"/>
    <w:rsid w:val="00466D27"/>
    <w:rsid w:val="00467B75"/>
    <w:rsid w:val="00467C57"/>
    <w:rsid w:val="00470DC3"/>
    <w:rsid w:val="0047131C"/>
    <w:rsid w:val="0047512F"/>
    <w:rsid w:val="004760B4"/>
    <w:rsid w:val="00477600"/>
    <w:rsid w:val="004848BC"/>
    <w:rsid w:val="00485442"/>
    <w:rsid w:val="00485F34"/>
    <w:rsid w:val="0049161F"/>
    <w:rsid w:val="0049228D"/>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CB4"/>
    <w:rsid w:val="004B01A3"/>
    <w:rsid w:val="004B0517"/>
    <w:rsid w:val="004B1AED"/>
    <w:rsid w:val="004B2EB2"/>
    <w:rsid w:val="004B4242"/>
    <w:rsid w:val="004B6499"/>
    <w:rsid w:val="004B760E"/>
    <w:rsid w:val="004C0D18"/>
    <w:rsid w:val="004C0E74"/>
    <w:rsid w:val="004C1902"/>
    <w:rsid w:val="004C25A8"/>
    <w:rsid w:val="004C48D2"/>
    <w:rsid w:val="004C5B1C"/>
    <w:rsid w:val="004C5DB2"/>
    <w:rsid w:val="004C66EA"/>
    <w:rsid w:val="004D0015"/>
    <w:rsid w:val="004D188B"/>
    <w:rsid w:val="004D19E1"/>
    <w:rsid w:val="004D1F00"/>
    <w:rsid w:val="004D41C0"/>
    <w:rsid w:val="004D6159"/>
    <w:rsid w:val="004D73EC"/>
    <w:rsid w:val="004D7469"/>
    <w:rsid w:val="004E173E"/>
    <w:rsid w:val="004E191F"/>
    <w:rsid w:val="004E1E71"/>
    <w:rsid w:val="004E422C"/>
    <w:rsid w:val="004E5CE6"/>
    <w:rsid w:val="004F1642"/>
    <w:rsid w:val="004F1A9A"/>
    <w:rsid w:val="004F1F67"/>
    <w:rsid w:val="004F2E51"/>
    <w:rsid w:val="004F337A"/>
    <w:rsid w:val="004F54F3"/>
    <w:rsid w:val="004F55D8"/>
    <w:rsid w:val="004F6D4A"/>
    <w:rsid w:val="004F7145"/>
    <w:rsid w:val="004F7CFB"/>
    <w:rsid w:val="00500A0A"/>
    <w:rsid w:val="0050154F"/>
    <w:rsid w:val="00501AB9"/>
    <w:rsid w:val="00502BA1"/>
    <w:rsid w:val="00504846"/>
    <w:rsid w:val="005050E9"/>
    <w:rsid w:val="00506683"/>
    <w:rsid w:val="00506CBB"/>
    <w:rsid w:val="005078E5"/>
    <w:rsid w:val="0051049C"/>
    <w:rsid w:val="005112A4"/>
    <w:rsid w:val="00511944"/>
    <w:rsid w:val="00515358"/>
    <w:rsid w:val="00515F7D"/>
    <w:rsid w:val="00516228"/>
    <w:rsid w:val="00517B73"/>
    <w:rsid w:val="00520DA5"/>
    <w:rsid w:val="00520F3F"/>
    <w:rsid w:val="005223AE"/>
    <w:rsid w:val="005229EC"/>
    <w:rsid w:val="00522A32"/>
    <w:rsid w:val="00523383"/>
    <w:rsid w:val="00523B93"/>
    <w:rsid w:val="00523DD8"/>
    <w:rsid w:val="00523E53"/>
    <w:rsid w:val="00526640"/>
    <w:rsid w:val="0052690C"/>
    <w:rsid w:val="0052786E"/>
    <w:rsid w:val="005319A4"/>
    <w:rsid w:val="00533498"/>
    <w:rsid w:val="005356E9"/>
    <w:rsid w:val="00535FCC"/>
    <w:rsid w:val="005361C0"/>
    <w:rsid w:val="0053792D"/>
    <w:rsid w:val="00541D62"/>
    <w:rsid w:val="00542025"/>
    <w:rsid w:val="005426EF"/>
    <w:rsid w:val="00544924"/>
    <w:rsid w:val="00545A9F"/>
    <w:rsid w:val="00546187"/>
    <w:rsid w:val="00546E2B"/>
    <w:rsid w:val="00547004"/>
    <w:rsid w:val="00550755"/>
    <w:rsid w:val="00550D16"/>
    <w:rsid w:val="00551B8C"/>
    <w:rsid w:val="00551E60"/>
    <w:rsid w:val="00551F13"/>
    <w:rsid w:val="00552945"/>
    <w:rsid w:val="00552B4C"/>
    <w:rsid w:val="00552E6D"/>
    <w:rsid w:val="00554A57"/>
    <w:rsid w:val="00554C6B"/>
    <w:rsid w:val="00554F26"/>
    <w:rsid w:val="00556448"/>
    <w:rsid w:val="00560E41"/>
    <w:rsid w:val="00560FBA"/>
    <w:rsid w:val="00561ECF"/>
    <w:rsid w:val="0056393E"/>
    <w:rsid w:val="00564A23"/>
    <w:rsid w:val="00565515"/>
    <w:rsid w:val="00565888"/>
    <w:rsid w:val="0057104C"/>
    <w:rsid w:val="00571222"/>
    <w:rsid w:val="0057134C"/>
    <w:rsid w:val="00571F1B"/>
    <w:rsid w:val="00572817"/>
    <w:rsid w:val="00572BF6"/>
    <w:rsid w:val="00573E57"/>
    <w:rsid w:val="00574EB3"/>
    <w:rsid w:val="00574FA6"/>
    <w:rsid w:val="00575559"/>
    <w:rsid w:val="005819FD"/>
    <w:rsid w:val="00581FBE"/>
    <w:rsid w:val="005820ED"/>
    <w:rsid w:val="00582CA2"/>
    <w:rsid w:val="0058673D"/>
    <w:rsid w:val="005915E2"/>
    <w:rsid w:val="00593E50"/>
    <w:rsid w:val="00593FE9"/>
    <w:rsid w:val="00595C82"/>
    <w:rsid w:val="005960A5"/>
    <w:rsid w:val="00597BA1"/>
    <w:rsid w:val="005A0112"/>
    <w:rsid w:val="005A129B"/>
    <w:rsid w:val="005A210A"/>
    <w:rsid w:val="005A235C"/>
    <w:rsid w:val="005A3E0E"/>
    <w:rsid w:val="005A5A94"/>
    <w:rsid w:val="005A6C88"/>
    <w:rsid w:val="005A7036"/>
    <w:rsid w:val="005A749F"/>
    <w:rsid w:val="005A7E9C"/>
    <w:rsid w:val="005B1EB9"/>
    <w:rsid w:val="005B36BE"/>
    <w:rsid w:val="005B3FB4"/>
    <w:rsid w:val="005B730C"/>
    <w:rsid w:val="005C0339"/>
    <w:rsid w:val="005C0B1D"/>
    <w:rsid w:val="005C14D7"/>
    <w:rsid w:val="005C1C7D"/>
    <w:rsid w:val="005C1E24"/>
    <w:rsid w:val="005C22F9"/>
    <w:rsid w:val="005C36EC"/>
    <w:rsid w:val="005C3BB0"/>
    <w:rsid w:val="005C3CBB"/>
    <w:rsid w:val="005C5ACD"/>
    <w:rsid w:val="005D1817"/>
    <w:rsid w:val="005D1954"/>
    <w:rsid w:val="005D6B4C"/>
    <w:rsid w:val="005E09BF"/>
    <w:rsid w:val="005E27DA"/>
    <w:rsid w:val="005E46A7"/>
    <w:rsid w:val="005E4A39"/>
    <w:rsid w:val="005E5011"/>
    <w:rsid w:val="005E5125"/>
    <w:rsid w:val="005F02BE"/>
    <w:rsid w:val="005F26E9"/>
    <w:rsid w:val="005F4FB8"/>
    <w:rsid w:val="005F5FF9"/>
    <w:rsid w:val="005F6069"/>
    <w:rsid w:val="005F6CB3"/>
    <w:rsid w:val="005F6CCF"/>
    <w:rsid w:val="005F79FC"/>
    <w:rsid w:val="00603EB3"/>
    <w:rsid w:val="00603FF8"/>
    <w:rsid w:val="00604D8F"/>
    <w:rsid w:val="00607427"/>
    <w:rsid w:val="00607DF6"/>
    <w:rsid w:val="00612798"/>
    <w:rsid w:val="00612E98"/>
    <w:rsid w:val="0061642C"/>
    <w:rsid w:val="00620EB4"/>
    <w:rsid w:val="0062146C"/>
    <w:rsid w:val="00621BB6"/>
    <w:rsid w:val="00622AD5"/>
    <w:rsid w:val="00623952"/>
    <w:rsid w:val="00624CC8"/>
    <w:rsid w:val="00625362"/>
    <w:rsid w:val="00625BA4"/>
    <w:rsid w:val="00626BD6"/>
    <w:rsid w:val="0063022F"/>
    <w:rsid w:val="00634AE0"/>
    <w:rsid w:val="00634ECF"/>
    <w:rsid w:val="0063563D"/>
    <w:rsid w:val="006369DD"/>
    <w:rsid w:val="006373C2"/>
    <w:rsid w:val="0063757B"/>
    <w:rsid w:val="006378F8"/>
    <w:rsid w:val="0064101A"/>
    <w:rsid w:val="006410F5"/>
    <w:rsid w:val="0064305E"/>
    <w:rsid w:val="00644AC3"/>
    <w:rsid w:val="006468B2"/>
    <w:rsid w:val="0064781F"/>
    <w:rsid w:val="00651225"/>
    <w:rsid w:val="006512ED"/>
    <w:rsid w:val="00654EE3"/>
    <w:rsid w:val="00655F4E"/>
    <w:rsid w:val="006567AC"/>
    <w:rsid w:val="0065695B"/>
    <w:rsid w:val="00656966"/>
    <w:rsid w:val="00657CC6"/>
    <w:rsid w:val="0066131E"/>
    <w:rsid w:val="00664092"/>
    <w:rsid w:val="00664B5A"/>
    <w:rsid w:val="0066568F"/>
    <w:rsid w:val="00665B4D"/>
    <w:rsid w:val="00666AA0"/>
    <w:rsid w:val="00667A7B"/>
    <w:rsid w:val="006709A9"/>
    <w:rsid w:val="00672606"/>
    <w:rsid w:val="00672666"/>
    <w:rsid w:val="00672867"/>
    <w:rsid w:val="00672D57"/>
    <w:rsid w:val="0067374C"/>
    <w:rsid w:val="006743CF"/>
    <w:rsid w:val="00677577"/>
    <w:rsid w:val="00684DF8"/>
    <w:rsid w:val="0068552F"/>
    <w:rsid w:val="0068674A"/>
    <w:rsid w:val="00686939"/>
    <w:rsid w:val="00686A1E"/>
    <w:rsid w:val="0068719A"/>
    <w:rsid w:val="0069442A"/>
    <w:rsid w:val="00694E9F"/>
    <w:rsid w:val="00695FA4"/>
    <w:rsid w:val="006963B3"/>
    <w:rsid w:val="00697644"/>
    <w:rsid w:val="006A0987"/>
    <w:rsid w:val="006A154D"/>
    <w:rsid w:val="006A1EBF"/>
    <w:rsid w:val="006A39F9"/>
    <w:rsid w:val="006A4299"/>
    <w:rsid w:val="006A457A"/>
    <w:rsid w:val="006A5001"/>
    <w:rsid w:val="006A56E7"/>
    <w:rsid w:val="006A60D9"/>
    <w:rsid w:val="006A6313"/>
    <w:rsid w:val="006B3C81"/>
    <w:rsid w:val="006B3FAA"/>
    <w:rsid w:val="006B49ED"/>
    <w:rsid w:val="006B536E"/>
    <w:rsid w:val="006B5383"/>
    <w:rsid w:val="006B53AB"/>
    <w:rsid w:val="006B7578"/>
    <w:rsid w:val="006C01B0"/>
    <w:rsid w:val="006C20D9"/>
    <w:rsid w:val="006C22E3"/>
    <w:rsid w:val="006C2678"/>
    <w:rsid w:val="006C3102"/>
    <w:rsid w:val="006C326D"/>
    <w:rsid w:val="006C4410"/>
    <w:rsid w:val="006C4709"/>
    <w:rsid w:val="006C5549"/>
    <w:rsid w:val="006C5A72"/>
    <w:rsid w:val="006C5C63"/>
    <w:rsid w:val="006D0446"/>
    <w:rsid w:val="006D2B69"/>
    <w:rsid w:val="006D4DC5"/>
    <w:rsid w:val="006D7F20"/>
    <w:rsid w:val="006E06A6"/>
    <w:rsid w:val="006E0B62"/>
    <w:rsid w:val="006E3A04"/>
    <w:rsid w:val="006E41BE"/>
    <w:rsid w:val="006E51A6"/>
    <w:rsid w:val="006E521B"/>
    <w:rsid w:val="006E7002"/>
    <w:rsid w:val="006E79D5"/>
    <w:rsid w:val="006F0112"/>
    <w:rsid w:val="006F03CE"/>
    <w:rsid w:val="006F0AF3"/>
    <w:rsid w:val="006F21F8"/>
    <w:rsid w:val="006F28DD"/>
    <w:rsid w:val="006F4001"/>
    <w:rsid w:val="006F4408"/>
    <w:rsid w:val="006F5E4A"/>
    <w:rsid w:val="006F656D"/>
    <w:rsid w:val="006F71F7"/>
    <w:rsid w:val="006F7B5B"/>
    <w:rsid w:val="00705184"/>
    <w:rsid w:val="0070523D"/>
    <w:rsid w:val="00706026"/>
    <w:rsid w:val="0070680C"/>
    <w:rsid w:val="007074BF"/>
    <w:rsid w:val="00711AC2"/>
    <w:rsid w:val="00713BD4"/>
    <w:rsid w:val="00715EA7"/>
    <w:rsid w:val="00716E6A"/>
    <w:rsid w:val="00717844"/>
    <w:rsid w:val="007203A3"/>
    <w:rsid w:val="00723928"/>
    <w:rsid w:val="00725246"/>
    <w:rsid w:val="00725753"/>
    <w:rsid w:val="00727696"/>
    <w:rsid w:val="007276F9"/>
    <w:rsid w:val="0073024F"/>
    <w:rsid w:val="00731983"/>
    <w:rsid w:val="007322B5"/>
    <w:rsid w:val="007339FA"/>
    <w:rsid w:val="00733F6B"/>
    <w:rsid w:val="00734477"/>
    <w:rsid w:val="007367F3"/>
    <w:rsid w:val="00736890"/>
    <w:rsid w:val="0073765C"/>
    <w:rsid w:val="00740C43"/>
    <w:rsid w:val="00740CC5"/>
    <w:rsid w:val="00743260"/>
    <w:rsid w:val="00745819"/>
    <w:rsid w:val="00745BF5"/>
    <w:rsid w:val="00746D9B"/>
    <w:rsid w:val="007474D9"/>
    <w:rsid w:val="00747F2A"/>
    <w:rsid w:val="00750359"/>
    <w:rsid w:val="00752C50"/>
    <w:rsid w:val="00754168"/>
    <w:rsid w:val="00754307"/>
    <w:rsid w:val="007566AC"/>
    <w:rsid w:val="00761722"/>
    <w:rsid w:val="00764169"/>
    <w:rsid w:val="007651B0"/>
    <w:rsid w:val="007679FD"/>
    <w:rsid w:val="00767AA2"/>
    <w:rsid w:val="00770064"/>
    <w:rsid w:val="007714E9"/>
    <w:rsid w:val="0077319D"/>
    <w:rsid w:val="007732AF"/>
    <w:rsid w:val="00773F78"/>
    <w:rsid w:val="0077495D"/>
    <w:rsid w:val="00776545"/>
    <w:rsid w:val="0077743F"/>
    <w:rsid w:val="00780C8D"/>
    <w:rsid w:val="0078103D"/>
    <w:rsid w:val="0078145F"/>
    <w:rsid w:val="007819EB"/>
    <w:rsid w:val="00782C4E"/>
    <w:rsid w:val="007830D2"/>
    <w:rsid w:val="0078628B"/>
    <w:rsid w:val="00787EF2"/>
    <w:rsid w:val="0079342A"/>
    <w:rsid w:val="00793ABE"/>
    <w:rsid w:val="00796542"/>
    <w:rsid w:val="00796569"/>
    <w:rsid w:val="00796894"/>
    <w:rsid w:val="00796964"/>
    <w:rsid w:val="00796B64"/>
    <w:rsid w:val="0079740D"/>
    <w:rsid w:val="00797C1C"/>
    <w:rsid w:val="007A0E18"/>
    <w:rsid w:val="007A0E2E"/>
    <w:rsid w:val="007A4F25"/>
    <w:rsid w:val="007A7231"/>
    <w:rsid w:val="007A73AB"/>
    <w:rsid w:val="007B0158"/>
    <w:rsid w:val="007B3BC9"/>
    <w:rsid w:val="007B4A52"/>
    <w:rsid w:val="007B642C"/>
    <w:rsid w:val="007B7D30"/>
    <w:rsid w:val="007C1B63"/>
    <w:rsid w:val="007C1F3D"/>
    <w:rsid w:val="007C3AA8"/>
    <w:rsid w:val="007C48D7"/>
    <w:rsid w:val="007C577C"/>
    <w:rsid w:val="007C5C0C"/>
    <w:rsid w:val="007C6811"/>
    <w:rsid w:val="007C6986"/>
    <w:rsid w:val="007C6A68"/>
    <w:rsid w:val="007D03D7"/>
    <w:rsid w:val="007D087F"/>
    <w:rsid w:val="007D0943"/>
    <w:rsid w:val="007D0AD5"/>
    <w:rsid w:val="007D0CF0"/>
    <w:rsid w:val="007D12D3"/>
    <w:rsid w:val="007D4EC6"/>
    <w:rsid w:val="007D4FB4"/>
    <w:rsid w:val="007D5D19"/>
    <w:rsid w:val="007D6ED5"/>
    <w:rsid w:val="007D6F39"/>
    <w:rsid w:val="007E1679"/>
    <w:rsid w:val="007E233E"/>
    <w:rsid w:val="007E3C3B"/>
    <w:rsid w:val="007E44C9"/>
    <w:rsid w:val="007E710D"/>
    <w:rsid w:val="007F0F0C"/>
    <w:rsid w:val="007F2AFB"/>
    <w:rsid w:val="007F666B"/>
    <w:rsid w:val="007F6F64"/>
    <w:rsid w:val="007F7773"/>
    <w:rsid w:val="00802C4F"/>
    <w:rsid w:val="00804F2C"/>
    <w:rsid w:val="00805CE8"/>
    <w:rsid w:val="00805DAF"/>
    <w:rsid w:val="00807572"/>
    <w:rsid w:val="0081189D"/>
    <w:rsid w:val="00813C52"/>
    <w:rsid w:val="00814F65"/>
    <w:rsid w:val="00815989"/>
    <w:rsid w:val="00816005"/>
    <w:rsid w:val="00817A83"/>
    <w:rsid w:val="0082026A"/>
    <w:rsid w:val="008218FF"/>
    <w:rsid w:val="00822579"/>
    <w:rsid w:val="0082296C"/>
    <w:rsid w:val="008240C0"/>
    <w:rsid w:val="008241A1"/>
    <w:rsid w:val="0082479B"/>
    <w:rsid w:val="00825F89"/>
    <w:rsid w:val="00827F7A"/>
    <w:rsid w:val="008307C0"/>
    <w:rsid w:val="0083511B"/>
    <w:rsid w:val="00835F3A"/>
    <w:rsid w:val="00836378"/>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2C66"/>
    <w:rsid w:val="00853C01"/>
    <w:rsid w:val="008543F5"/>
    <w:rsid w:val="0085491F"/>
    <w:rsid w:val="008552E5"/>
    <w:rsid w:val="008557D3"/>
    <w:rsid w:val="00856F2A"/>
    <w:rsid w:val="008572AC"/>
    <w:rsid w:val="008601A0"/>
    <w:rsid w:val="008607BB"/>
    <w:rsid w:val="00860B47"/>
    <w:rsid w:val="00860B5D"/>
    <w:rsid w:val="00861788"/>
    <w:rsid w:val="00861904"/>
    <w:rsid w:val="00862543"/>
    <w:rsid w:val="00862593"/>
    <w:rsid w:val="00862942"/>
    <w:rsid w:val="00862DFD"/>
    <w:rsid w:val="00863D2B"/>
    <w:rsid w:val="00863F05"/>
    <w:rsid w:val="0086415A"/>
    <w:rsid w:val="00864187"/>
    <w:rsid w:val="00866F1E"/>
    <w:rsid w:val="00867E0F"/>
    <w:rsid w:val="008710D8"/>
    <w:rsid w:val="00871B9D"/>
    <w:rsid w:val="00871CC8"/>
    <w:rsid w:val="00871E92"/>
    <w:rsid w:val="00872759"/>
    <w:rsid w:val="00872BAA"/>
    <w:rsid w:val="00873062"/>
    <w:rsid w:val="00874245"/>
    <w:rsid w:val="008755E1"/>
    <w:rsid w:val="00877538"/>
    <w:rsid w:val="00880E7D"/>
    <w:rsid w:val="00880FEE"/>
    <w:rsid w:val="00882512"/>
    <w:rsid w:val="00882F64"/>
    <w:rsid w:val="0088352B"/>
    <w:rsid w:val="0088485C"/>
    <w:rsid w:val="008855AB"/>
    <w:rsid w:val="00885C28"/>
    <w:rsid w:val="00887594"/>
    <w:rsid w:val="0089046A"/>
    <w:rsid w:val="00890F2B"/>
    <w:rsid w:val="0089286A"/>
    <w:rsid w:val="00892E9B"/>
    <w:rsid w:val="008940C5"/>
    <w:rsid w:val="008944AE"/>
    <w:rsid w:val="008A0676"/>
    <w:rsid w:val="008A1B8E"/>
    <w:rsid w:val="008A29F4"/>
    <w:rsid w:val="008A37A9"/>
    <w:rsid w:val="008A4A39"/>
    <w:rsid w:val="008A5C59"/>
    <w:rsid w:val="008A5C6B"/>
    <w:rsid w:val="008A6C4D"/>
    <w:rsid w:val="008A78A3"/>
    <w:rsid w:val="008B131C"/>
    <w:rsid w:val="008B1B85"/>
    <w:rsid w:val="008B273A"/>
    <w:rsid w:val="008B3185"/>
    <w:rsid w:val="008B6162"/>
    <w:rsid w:val="008C071A"/>
    <w:rsid w:val="008C7EAC"/>
    <w:rsid w:val="008D09F9"/>
    <w:rsid w:val="008D1507"/>
    <w:rsid w:val="008D1D8E"/>
    <w:rsid w:val="008D35D8"/>
    <w:rsid w:val="008D49E1"/>
    <w:rsid w:val="008D5DD5"/>
    <w:rsid w:val="008D5E88"/>
    <w:rsid w:val="008D6927"/>
    <w:rsid w:val="008D6D4E"/>
    <w:rsid w:val="008D70F5"/>
    <w:rsid w:val="008D7912"/>
    <w:rsid w:val="008E018D"/>
    <w:rsid w:val="008E04F5"/>
    <w:rsid w:val="008E0BAF"/>
    <w:rsid w:val="008E0CFF"/>
    <w:rsid w:val="008E1F24"/>
    <w:rsid w:val="008E2958"/>
    <w:rsid w:val="008E2BA2"/>
    <w:rsid w:val="008E3BEF"/>
    <w:rsid w:val="008E41B1"/>
    <w:rsid w:val="008E71DA"/>
    <w:rsid w:val="008F00F2"/>
    <w:rsid w:val="008F0DEA"/>
    <w:rsid w:val="008F277D"/>
    <w:rsid w:val="008F2BED"/>
    <w:rsid w:val="008F31AA"/>
    <w:rsid w:val="008F4121"/>
    <w:rsid w:val="008F5A64"/>
    <w:rsid w:val="008F5D33"/>
    <w:rsid w:val="008F6823"/>
    <w:rsid w:val="008F6B90"/>
    <w:rsid w:val="008F6F9B"/>
    <w:rsid w:val="008F75BC"/>
    <w:rsid w:val="009028D1"/>
    <w:rsid w:val="00902CE7"/>
    <w:rsid w:val="00903CF9"/>
    <w:rsid w:val="009040A0"/>
    <w:rsid w:val="0090552F"/>
    <w:rsid w:val="009065DE"/>
    <w:rsid w:val="00907395"/>
    <w:rsid w:val="00907E8E"/>
    <w:rsid w:val="00907F8B"/>
    <w:rsid w:val="00907FD2"/>
    <w:rsid w:val="00910925"/>
    <w:rsid w:val="00910C00"/>
    <w:rsid w:val="00910F0D"/>
    <w:rsid w:val="00911AA6"/>
    <w:rsid w:val="009136DF"/>
    <w:rsid w:val="0091374C"/>
    <w:rsid w:val="009149C2"/>
    <w:rsid w:val="009159D8"/>
    <w:rsid w:val="00920771"/>
    <w:rsid w:val="00923E25"/>
    <w:rsid w:val="0092462B"/>
    <w:rsid w:val="00924D8D"/>
    <w:rsid w:val="00926C8E"/>
    <w:rsid w:val="00927062"/>
    <w:rsid w:val="00927233"/>
    <w:rsid w:val="009306D4"/>
    <w:rsid w:val="0093084D"/>
    <w:rsid w:val="00931CD6"/>
    <w:rsid w:val="009327FD"/>
    <w:rsid w:val="00932F86"/>
    <w:rsid w:val="00933EB1"/>
    <w:rsid w:val="00934114"/>
    <w:rsid w:val="00934224"/>
    <w:rsid w:val="00935D9C"/>
    <w:rsid w:val="0093676B"/>
    <w:rsid w:val="00937A9E"/>
    <w:rsid w:val="009406A0"/>
    <w:rsid w:val="00942020"/>
    <w:rsid w:val="00943C4C"/>
    <w:rsid w:val="00944926"/>
    <w:rsid w:val="00944CCD"/>
    <w:rsid w:val="009471ED"/>
    <w:rsid w:val="00950100"/>
    <w:rsid w:val="00950E1F"/>
    <w:rsid w:val="00953392"/>
    <w:rsid w:val="00953F72"/>
    <w:rsid w:val="00954046"/>
    <w:rsid w:val="00954332"/>
    <w:rsid w:val="009548FE"/>
    <w:rsid w:val="00954E64"/>
    <w:rsid w:val="00961068"/>
    <w:rsid w:val="00961ABF"/>
    <w:rsid w:val="009621B8"/>
    <w:rsid w:val="00962A6E"/>
    <w:rsid w:val="00963D07"/>
    <w:rsid w:val="00965C2E"/>
    <w:rsid w:val="00966058"/>
    <w:rsid w:val="00967CD1"/>
    <w:rsid w:val="00970B7C"/>
    <w:rsid w:val="00972511"/>
    <w:rsid w:val="00973CAD"/>
    <w:rsid w:val="0097417B"/>
    <w:rsid w:val="00975B1D"/>
    <w:rsid w:val="00975EBC"/>
    <w:rsid w:val="00977A15"/>
    <w:rsid w:val="009814DA"/>
    <w:rsid w:val="00983072"/>
    <w:rsid w:val="009835BC"/>
    <w:rsid w:val="00984926"/>
    <w:rsid w:val="00984A23"/>
    <w:rsid w:val="00984C67"/>
    <w:rsid w:val="00985E96"/>
    <w:rsid w:val="0098646D"/>
    <w:rsid w:val="00987E92"/>
    <w:rsid w:val="00992217"/>
    <w:rsid w:val="009928CB"/>
    <w:rsid w:val="009950BE"/>
    <w:rsid w:val="009953B3"/>
    <w:rsid w:val="009A070D"/>
    <w:rsid w:val="009A0A7C"/>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54"/>
    <w:rsid w:val="009B51A1"/>
    <w:rsid w:val="009B78CF"/>
    <w:rsid w:val="009C046F"/>
    <w:rsid w:val="009C1B73"/>
    <w:rsid w:val="009C29C9"/>
    <w:rsid w:val="009C3154"/>
    <w:rsid w:val="009C36A0"/>
    <w:rsid w:val="009C45DF"/>
    <w:rsid w:val="009C5368"/>
    <w:rsid w:val="009C6FF4"/>
    <w:rsid w:val="009D2C05"/>
    <w:rsid w:val="009D3B47"/>
    <w:rsid w:val="009D473E"/>
    <w:rsid w:val="009D5BDE"/>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226D"/>
    <w:rsid w:val="009F44B5"/>
    <w:rsid w:val="009F57C3"/>
    <w:rsid w:val="009F62DE"/>
    <w:rsid w:val="009F6D5B"/>
    <w:rsid w:val="009F715F"/>
    <w:rsid w:val="009F787A"/>
    <w:rsid w:val="009F78E4"/>
    <w:rsid w:val="00A0129B"/>
    <w:rsid w:val="00A01E2A"/>
    <w:rsid w:val="00A03447"/>
    <w:rsid w:val="00A03AB9"/>
    <w:rsid w:val="00A03FA9"/>
    <w:rsid w:val="00A04D0B"/>
    <w:rsid w:val="00A04F95"/>
    <w:rsid w:val="00A04FE9"/>
    <w:rsid w:val="00A06BD5"/>
    <w:rsid w:val="00A06E5A"/>
    <w:rsid w:val="00A06FE8"/>
    <w:rsid w:val="00A07C39"/>
    <w:rsid w:val="00A10376"/>
    <w:rsid w:val="00A10644"/>
    <w:rsid w:val="00A10CA5"/>
    <w:rsid w:val="00A11A6E"/>
    <w:rsid w:val="00A11AA3"/>
    <w:rsid w:val="00A127F6"/>
    <w:rsid w:val="00A14E54"/>
    <w:rsid w:val="00A1733A"/>
    <w:rsid w:val="00A21173"/>
    <w:rsid w:val="00A230A4"/>
    <w:rsid w:val="00A24164"/>
    <w:rsid w:val="00A257AA"/>
    <w:rsid w:val="00A25FD1"/>
    <w:rsid w:val="00A27132"/>
    <w:rsid w:val="00A3012A"/>
    <w:rsid w:val="00A30165"/>
    <w:rsid w:val="00A30EF1"/>
    <w:rsid w:val="00A315D4"/>
    <w:rsid w:val="00A3175D"/>
    <w:rsid w:val="00A31DFE"/>
    <w:rsid w:val="00A3212E"/>
    <w:rsid w:val="00A3316D"/>
    <w:rsid w:val="00A331E9"/>
    <w:rsid w:val="00A336B9"/>
    <w:rsid w:val="00A34C9F"/>
    <w:rsid w:val="00A35203"/>
    <w:rsid w:val="00A4094A"/>
    <w:rsid w:val="00A412D7"/>
    <w:rsid w:val="00A4198D"/>
    <w:rsid w:val="00A43825"/>
    <w:rsid w:val="00A43AB2"/>
    <w:rsid w:val="00A44740"/>
    <w:rsid w:val="00A44FDF"/>
    <w:rsid w:val="00A4559B"/>
    <w:rsid w:val="00A45CC6"/>
    <w:rsid w:val="00A46184"/>
    <w:rsid w:val="00A47174"/>
    <w:rsid w:val="00A50182"/>
    <w:rsid w:val="00A53494"/>
    <w:rsid w:val="00A53D06"/>
    <w:rsid w:val="00A5411D"/>
    <w:rsid w:val="00A5449E"/>
    <w:rsid w:val="00A54F67"/>
    <w:rsid w:val="00A556C6"/>
    <w:rsid w:val="00A55B88"/>
    <w:rsid w:val="00A55BD2"/>
    <w:rsid w:val="00A563D1"/>
    <w:rsid w:val="00A5679F"/>
    <w:rsid w:val="00A57E44"/>
    <w:rsid w:val="00A604EE"/>
    <w:rsid w:val="00A6156D"/>
    <w:rsid w:val="00A61E6B"/>
    <w:rsid w:val="00A659A0"/>
    <w:rsid w:val="00A6605F"/>
    <w:rsid w:val="00A6631E"/>
    <w:rsid w:val="00A670E6"/>
    <w:rsid w:val="00A67E4E"/>
    <w:rsid w:val="00A70382"/>
    <w:rsid w:val="00A7128D"/>
    <w:rsid w:val="00A71644"/>
    <w:rsid w:val="00A72B81"/>
    <w:rsid w:val="00A74320"/>
    <w:rsid w:val="00A74FBA"/>
    <w:rsid w:val="00A76296"/>
    <w:rsid w:val="00A76FA9"/>
    <w:rsid w:val="00A772FD"/>
    <w:rsid w:val="00A80A5B"/>
    <w:rsid w:val="00A81418"/>
    <w:rsid w:val="00A82788"/>
    <w:rsid w:val="00A8278F"/>
    <w:rsid w:val="00A829E7"/>
    <w:rsid w:val="00A865C1"/>
    <w:rsid w:val="00A86B08"/>
    <w:rsid w:val="00A870EA"/>
    <w:rsid w:val="00A87960"/>
    <w:rsid w:val="00A92109"/>
    <w:rsid w:val="00A92B76"/>
    <w:rsid w:val="00A92C72"/>
    <w:rsid w:val="00A9315E"/>
    <w:rsid w:val="00A938F9"/>
    <w:rsid w:val="00A946C1"/>
    <w:rsid w:val="00A9563B"/>
    <w:rsid w:val="00A956F2"/>
    <w:rsid w:val="00A963B2"/>
    <w:rsid w:val="00A9726B"/>
    <w:rsid w:val="00A97ECB"/>
    <w:rsid w:val="00AA0CA1"/>
    <w:rsid w:val="00AA363F"/>
    <w:rsid w:val="00AA3B50"/>
    <w:rsid w:val="00AA402E"/>
    <w:rsid w:val="00AA49DC"/>
    <w:rsid w:val="00AA6624"/>
    <w:rsid w:val="00AB05B5"/>
    <w:rsid w:val="00AB35D4"/>
    <w:rsid w:val="00AB3B95"/>
    <w:rsid w:val="00AB41D1"/>
    <w:rsid w:val="00AB4614"/>
    <w:rsid w:val="00AB52DF"/>
    <w:rsid w:val="00AB54BA"/>
    <w:rsid w:val="00AB6848"/>
    <w:rsid w:val="00AC115A"/>
    <w:rsid w:val="00AC2569"/>
    <w:rsid w:val="00AC5707"/>
    <w:rsid w:val="00AC607C"/>
    <w:rsid w:val="00AC66C8"/>
    <w:rsid w:val="00AD004F"/>
    <w:rsid w:val="00AD0A87"/>
    <w:rsid w:val="00AD1124"/>
    <w:rsid w:val="00AD137F"/>
    <w:rsid w:val="00AD20B4"/>
    <w:rsid w:val="00AD24C0"/>
    <w:rsid w:val="00AD4337"/>
    <w:rsid w:val="00AD5DB8"/>
    <w:rsid w:val="00AD60E9"/>
    <w:rsid w:val="00AD7CB1"/>
    <w:rsid w:val="00AE1091"/>
    <w:rsid w:val="00AE1A9C"/>
    <w:rsid w:val="00AE2523"/>
    <w:rsid w:val="00AE34AA"/>
    <w:rsid w:val="00AE58D1"/>
    <w:rsid w:val="00AE6E53"/>
    <w:rsid w:val="00AF155F"/>
    <w:rsid w:val="00AF1D4E"/>
    <w:rsid w:val="00AF1DA1"/>
    <w:rsid w:val="00AF2933"/>
    <w:rsid w:val="00AF4AEA"/>
    <w:rsid w:val="00AF54BD"/>
    <w:rsid w:val="00AF5E64"/>
    <w:rsid w:val="00AF6605"/>
    <w:rsid w:val="00B000B2"/>
    <w:rsid w:val="00B01850"/>
    <w:rsid w:val="00B01EC3"/>
    <w:rsid w:val="00B0296B"/>
    <w:rsid w:val="00B03400"/>
    <w:rsid w:val="00B04830"/>
    <w:rsid w:val="00B06107"/>
    <w:rsid w:val="00B0665D"/>
    <w:rsid w:val="00B077AE"/>
    <w:rsid w:val="00B12863"/>
    <w:rsid w:val="00B12B34"/>
    <w:rsid w:val="00B1347F"/>
    <w:rsid w:val="00B135F9"/>
    <w:rsid w:val="00B141FD"/>
    <w:rsid w:val="00B144A1"/>
    <w:rsid w:val="00B1589D"/>
    <w:rsid w:val="00B16C50"/>
    <w:rsid w:val="00B17DE1"/>
    <w:rsid w:val="00B20E31"/>
    <w:rsid w:val="00B21281"/>
    <w:rsid w:val="00B22094"/>
    <w:rsid w:val="00B26F44"/>
    <w:rsid w:val="00B27799"/>
    <w:rsid w:val="00B27BF8"/>
    <w:rsid w:val="00B30F22"/>
    <w:rsid w:val="00B315FA"/>
    <w:rsid w:val="00B31C0E"/>
    <w:rsid w:val="00B31DBF"/>
    <w:rsid w:val="00B34469"/>
    <w:rsid w:val="00B35454"/>
    <w:rsid w:val="00B37576"/>
    <w:rsid w:val="00B4357A"/>
    <w:rsid w:val="00B4733B"/>
    <w:rsid w:val="00B5110A"/>
    <w:rsid w:val="00B51186"/>
    <w:rsid w:val="00B52102"/>
    <w:rsid w:val="00B52F84"/>
    <w:rsid w:val="00B53BFA"/>
    <w:rsid w:val="00B54373"/>
    <w:rsid w:val="00B55F78"/>
    <w:rsid w:val="00B56CC9"/>
    <w:rsid w:val="00B60051"/>
    <w:rsid w:val="00B60C2F"/>
    <w:rsid w:val="00B61C87"/>
    <w:rsid w:val="00B63766"/>
    <w:rsid w:val="00B6460A"/>
    <w:rsid w:val="00B64C5B"/>
    <w:rsid w:val="00B655AF"/>
    <w:rsid w:val="00B65C75"/>
    <w:rsid w:val="00B67B0D"/>
    <w:rsid w:val="00B67B25"/>
    <w:rsid w:val="00B67BE6"/>
    <w:rsid w:val="00B67D4F"/>
    <w:rsid w:val="00B7118E"/>
    <w:rsid w:val="00B71ABE"/>
    <w:rsid w:val="00B72063"/>
    <w:rsid w:val="00B72FA8"/>
    <w:rsid w:val="00B730A8"/>
    <w:rsid w:val="00B733CF"/>
    <w:rsid w:val="00B737EA"/>
    <w:rsid w:val="00B73C61"/>
    <w:rsid w:val="00B7429D"/>
    <w:rsid w:val="00B750AE"/>
    <w:rsid w:val="00B75A52"/>
    <w:rsid w:val="00B80A8F"/>
    <w:rsid w:val="00B81E10"/>
    <w:rsid w:val="00B822BB"/>
    <w:rsid w:val="00B82863"/>
    <w:rsid w:val="00B82D3F"/>
    <w:rsid w:val="00B831FE"/>
    <w:rsid w:val="00B84B43"/>
    <w:rsid w:val="00B85F9B"/>
    <w:rsid w:val="00B87146"/>
    <w:rsid w:val="00B93DB0"/>
    <w:rsid w:val="00B93F1C"/>
    <w:rsid w:val="00B94A97"/>
    <w:rsid w:val="00B954BE"/>
    <w:rsid w:val="00B97EA5"/>
    <w:rsid w:val="00BA02A8"/>
    <w:rsid w:val="00BA103C"/>
    <w:rsid w:val="00BA180E"/>
    <w:rsid w:val="00BA1D75"/>
    <w:rsid w:val="00BA27B7"/>
    <w:rsid w:val="00BA2968"/>
    <w:rsid w:val="00BA41DF"/>
    <w:rsid w:val="00BA4CB5"/>
    <w:rsid w:val="00BA5D9B"/>
    <w:rsid w:val="00BB2EA1"/>
    <w:rsid w:val="00BB3BC5"/>
    <w:rsid w:val="00BB3FE2"/>
    <w:rsid w:val="00BB40A1"/>
    <w:rsid w:val="00BB56BF"/>
    <w:rsid w:val="00BC0766"/>
    <w:rsid w:val="00BC308A"/>
    <w:rsid w:val="00BC431F"/>
    <w:rsid w:val="00BC5F4C"/>
    <w:rsid w:val="00BC774B"/>
    <w:rsid w:val="00BD2604"/>
    <w:rsid w:val="00BD3658"/>
    <w:rsid w:val="00BD3A87"/>
    <w:rsid w:val="00BD5BAC"/>
    <w:rsid w:val="00BD7B7B"/>
    <w:rsid w:val="00BD7BED"/>
    <w:rsid w:val="00BE0B72"/>
    <w:rsid w:val="00BE113A"/>
    <w:rsid w:val="00BE2D06"/>
    <w:rsid w:val="00BE2F54"/>
    <w:rsid w:val="00BE418B"/>
    <w:rsid w:val="00BE4532"/>
    <w:rsid w:val="00BE71F8"/>
    <w:rsid w:val="00BE76FF"/>
    <w:rsid w:val="00BF0B4F"/>
    <w:rsid w:val="00BF0DBE"/>
    <w:rsid w:val="00BF2FF1"/>
    <w:rsid w:val="00BF6119"/>
    <w:rsid w:val="00BF7239"/>
    <w:rsid w:val="00C00D7E"/>
    <w:rsid w:val="00C01BF1"/>
    <w:rsid w:val="00C01C59"/>
    <w:rsid w:val="00C02440"/>
    <w:rsid w:val="00C02850"/>
    <w:rsid w:val="00C03ACD"/>
    <w:rsid w:val="00C04F24"/>
    <w:rsid w:val="00C05977"/>
    <w:rsid w:val="00C06DB1"/>
    <w:rsid w:val="00C07EDB"/>
    <w:rsid w:val="00C11DEB"/>
    <w:rsid w:val="00C1235D"/>
    <w:rsid w:val="00C128E5"/>
    <w:rsid w:val="00C155BF"/>
    <w:rsid w:val="00C15886"/>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5B45"/>
    <w:rsid w:val="00C37320"/>
    <w:rsid w:val="00C377C7"/>
    <w:rsid w:val="00C42187"/>
    <w:rsid w:val="00C43ECA"/>
    <w:rsid w:val="00C471A8"/>
    <w:rsid w:val="00C477CB"/>
    <w:rsid w:val="00C479B5"/>
    <w:rsid w:val="00C501A9"/>
    <w:rsid w:val="00C50235"/>
    <w:rsid w:val="00C510E6"/>
    <w:rsid w:val="00C51C56"/>
    <w:rsid w:val="00C53FC5"/>
    <w:rsid w:val="00C54A1B"/>
    <w:rsid w:val="00C56FBB"/>
    <w:rsid w:val="00C57619"/>
    <w:rsid w:val="00C60C0D"/>
    <w:rsid w:val="00C60D30"/>
    <w:rsid w:val="00C62665"/>
    <w:rsid w:val="00C6612C"/>
    <w:rsid w:val="00C6637C"/>
    <w:rsid w:val="00C6699B"/>
    <w:rsid w:val="00C675F1"/>
    <w:rsid w:val="00C678B8"/>
    <w:rsid w:val="00C67D55"/>
    <w:rsid w:val="00C70C15"/>
    <w:rsid w:val="00C70E4E"/>
    <w:rsid w:val="00C71137"/>
    <w:rsid w:val="00C73C24"/>
    <w:rsid w:val="00C7536E"/>
    <w:rsid w:val="00C75CCD"/>
    <w:rsid w:val="00C76627"/>
    <w:rsid w:val="00C805F1"/>
    <w:rsid w:val="00C80AAB"/>
    <w:rsid w:val="00C810A3"/>
    <w:rsid w:val="00C81E36"/>
    <w:rsid w:val="00C820BE"/>
    <w:rsid w:val="00C82868"/>
    <w:rsid w:val="00C83026"/>
    <w:rsid w:val="00C8423E"/>
    <w:rsid w:val="00C84D64"/>
    <w:rsid w:val="00C84E18"/>
    <w:rsid w:val="00C85469"/>
    <w:rsid w:val="00C86588"/>
    <w:rsid w:val="00C86938"/>
    <w:rsid w:val="00C87714"/>
    <w:rsid w:val="00C87A32"/>
    <w:rsid w:val="00C93181"/>
    <w:rsid w:val="00C9323A"/>
    <w:rsid w:val="00C93419"/>
    <w:rsid w:val="00C951B1"/>
    <w:rsid w:val="00C96CB4"/>
    <w:rsid w:val="00C97898"/>
    <w:rsid w:val="00CA0305"/>
    <w:rsid w:val="00CA1309"/>
    <w:rsid w:val="00CA1E6B"/>
    <w:rsid w:val="00CA268A"/>
    <w:rsid w:val="00CA2BA3"/>
    <w:rsid w:val="00CA5E1B"/>
    <w:rsid w:val="00CA5FE6"/>
    <w:rsid w:val="00CA7E81"/>
    <w:rsid w:val="00CB00FF"/>
    <w:rsid w:val="00CB08D9"/>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5883"/>
    <w:rsid w:val="00CD5BC2"/>
    <w:rsid w:val="00CD6E29"/>
    <w:rsid w:val="00CD6F30"/>
    <w:rsid w:val="00CE13A3"/>
    <w:rsid w:val="00CE6F52"/>
    <w:rsid w:val="00CE790D"/>
    <w:rsid w:val="00CE7989"/>
    <w:rsid w:val="00CE7A37"/>
    <w:rsid w:val="00CF1415"/>
    <w:rsid w:val="00CF1747"/>
    <w:rsid w:val="00CF35C4"/>
    <w:rsid w:val="00CF360D"/>
    <w:rsid w:val="00CF380A"/>
    <w:rsid w:val="00CF3C26"/>
    <w:rsid w:val="00CF3EB1"/>
    <w:rsid w:val="00CF4083"/>
    <w:rsid w:val="00CF4839"/>
    <w:rsid w:val="00CF4CAF"/>
    <w:rsid w:val="00CF58D2"/>
    <w:rsid w:val="00CF5EF7"/>
    <w:rsid w:val="00CF7833"/>
    <w:rsid w:val="00D00642"/>
    <w:rsid w:val="00D0150A"/>
    <w:rsid w:val="00D0483A"/>
    <w:rsid w:val="00D065D8"/>
    <w:rsid w:val="00D1000D"/>
    <w:rsid w:val="00D10439"/>
    <w:rsid w:val="00D11182"/>
    <w:rsid w:val="00D12918"/>
    <w:rsid w:val="00D13D22"/>
    <w:rsid w:val="00D13E86"/>
    <w:rsid w:val="00D1483B"/>
    <w:rsid w:val="00D14E23"/>
    <w:rsid w:val="00D14F4B"/>
    <w:rsid w:val="00D15A4A"/>
    <w:rsid w:val="00D177EE"/>
    <w:rsid w:val="00D2180D"/>
    <w:rsid w:val="00D2182B"/>
    <w:rsid w:val="00D21CE8"/>
    <w:rsid w:val="00D21CFC"/>
    <w:rsid w:val="00D22C43"/>
    <w:rsid w:val="00D236FB"/>
    <w:rsid w:val="00D23A0C"/>
    <w:rsid w:val="00D23A8F"/>
    <w:rsid w:val="00D23FB4"/>
    <w:rsid w:val="00D25A2D"/>
    <w:rsid w:val="00D276AF"/>
    <w:rsid w:val="00D31719"/>
    <w:rsid w:val="00D3215D"/>
    <w:rsid w:val="00D348BA"/>
    <w:rsid w:val="00D37BE7"/>
    <w:rsid w:val="00D41464"/>
    <w:rsid w:val="00D41A8B"/>
    <w:rsid w:val="00D4219F"/>
    <w:rsid w:val="00D42EF4"/>
    <w:rsid w:val="00D4341F"/>
    <w:rsid w:val="00D436AD"/>
    <w:rsid w:val="00D43D38"/>
    <w:rsid w:val="00D43E2C"/>
    <w:rsid w:val="00D445A4"/>
    <w:rsid w:val="00D45369"/>
    <w:rsid w:val="00D45C1A"/>
    <w:rsid w:val="00D45E63"/>
    <w:rsid w:val="00D50591"/>
    <w:rsid w:val="00D5210A"/>
    <w:rsid w:val="00D53991"/>
    <w:rsid w:val="00D55EBE"/>
    <w:rsid w:val="00D568CF"/>
    <w:rsid w:val="00D56DFA"/>
    <w:rsid w:val="00D61AD1"/>
    <w:rsid w:val="00D61B28"/>
    <w:rsid w:val="00D620E8"/>
    <w:rsid w:val="00D63154"/>
    <w:rsid w:val="00D63275"/>
    <w:rsid w:val="00D63BAA"/>
    <w:rsid w:val="00D644D4"/>
    <w:rsid w:val="00D64865"/>
    <w:rsid w:val="00D64EB0"/>
    <w:rsid w:val="00D708C5"/>
    <w:rsid w:val="00D710CA"/>
    <w:rsid w:val="00D71EC6"/>
    <w:rsid w:val="00D72422"/>
    <w:rsid w:val="00D74642"/>
    <w:rsid w:val="00D75159"/>
    <w:rsid w:val="00D80861"/>
    <w:rsid w:val="00D81351"/>
    <w:rsid w:val="00D81642"/>
    <w:rsid w:val="00D8178E"/>
    <w:rsid w:val="00D81B86"/>
    <w:rsid w:val="00D82952"/>
    <w:rsid w:val="00D834A9"/>
    <w:rsid w:val="00D84625"/>
    <w:rsid w:val="00D85055"/>
    <w:rsid w:val="00D869A9"/>
    <w:rsid w:val="00D87B13"/>
    <w:rsid w:val="00D90453"/>
    <w:rsid w:val="00D9067C"/>
    <w:rsid w:val="00D90CA7"/>
    <w:rsid w:val="00D91751"/>
    <w:rsid w:val="00D91C38"/>
    <w:rsid w:val="00D927E4"/>
    <w:rsid w:val="00D93C26"/>
    <w:rsid w:val="00D93C97"/>
    <w:rsid w:val="00D94AD5"/>
    <w:rsid w:val="00D95A30"/>
    <w:rsid w:val="00D97B71"/>
    <w:rsid w:val="00DA2B3F"/>
    <w:rsid w:val="00DA2B63"/>
    <w:rsid w:val="00DA4E55"/>
    <w:rsid w:val="00DA5453"/>
    <w:rsid w:val="00DA5564"/>
    <w:rsid w:val="00DA5851"/>
    <w:rsid w:val="00DA59C2"/>
    <w:rsid w:val="00DA6CEC"/>
    <w:rsid w:val="00DA7973"/>
    <w:rsid w:val="00DA7DE8"/>
    <w:rsid w:val="00DB3F0F"/>
    <w:rsid w:val="00DB4517"/>
    <w:rsid w:val="00DB4754"/>
    <w:rsid w:val="00DB48EA"/>
    <w:rsid w:val="00DB4F1E"/>
    <w:rsid w:val="00DB549E"/>
    <w:rsid w:val="00DB577A"/>
    <w:rsid w:val="00DB6F02"/>
    <w:rsid w:val="00DB7F77"/>
    <w:rsid w:val="00DB7FA7"/>
    <w:rsid w:val="00DC2801"/>
    <w:rsid w:val="00DC2EF9"/>
    <w:rsid w:val="00DC3132"/>
    <w:rsid w:val="00DC5F98"/>
    <w:rsid w:val="00DD0D88"/>
    <w:rsid w:val="00DD16D0"/>
    <w:rsid w:val="00DD23F9"/>
    <w:rsid w:val="00DD453E"/>
    <w:rsid w:val="00DD4A82"/>
    <w:rsid w:val="00DD4E30"/>
    <w:rsid w:val="00DE34C4"/>
    <w:rsid w:val="00DE6567"/>
    <w:rsid w:val="00DE7D49"/>
    <w:rsid w:val="00DF0419"/>
    <w:rsid w:val="00DF1D5E"/>
    <w:rsid w:val="00DF20E4"/>
    <w:rsid w:val="00DF28F4"/>
    <w:rsid w:val="00DF34C2"/>
    <w:rsid w:val="00DF498F"/>
    <w:rsid w:val="00DF59B5"/>
    <w:rsid w:val="00DF6855"/>
    <w:rsid w:val="00E01275"/>
    <w:rsid w:val="00E06C16"/>
    <w:rsid w:val="00E10931"/>
    <w:rsid w:val="00E109EC"/>
    <w:rsid w:val="00E1140D"/>
    <w:rsid w:val="00E11681"/>
    <w:rsid w:val="00E11805"/>
    <w:rsid w:val="00E12A00"/>
    <w:rsid w:val="00E13F9B"/>
    <w:rsid w:val="00E14422"/>
    <w:rsid w:val="00E14BCA"/>
    <w:rsid w:val="00E15029"/>
    <w:rsid w:val="00E15527"/>
    <w:rsid w:val="00E171BB"/>
    <w:rsid w:val="00E175D6"/>
    <w:rsid w:val="00E17D3C"/>
    <w:rsid w:val="00E20397"/>
    <w:rsid w:val="00E20C2E"/>
    <w:rsid w:val="00E229C9"/>
    <w:rsid w:val="00E235C0"/>
    <w:rsid w:val="00E23D51"/>
    <w:rsid w:val="00E2535C"/>
    <w:rsid w:val="00E256C3"/>
    <w:rsid w:val="00E31899"/>
    <w:rsid w:val="00E324C3"/>
    <w:rsid w:val="00E33137"/>
    <w:rsid w:val="00E3415F"/>
    <w:rsid w:val="00E35609"/>
    <w:rsid w:val="00E36147"/>
    <w:rsid w:val="00E37748"/>
    <w:rsid w:val="00E37F3C"/>
    <w:rsid w:val="00E400CD"/>
    <w:rsid w:val="00E40C83"/>
    <w:rsid w:val="00E42F0A"/>
    <w:rsid w:val="00E437D1"/>
    <w:rsid w:val="00E45252"/>
    <w:rsid w:val="00E46A48"/>
    <w:rsid w:val="00E47B12"/>
    <w:rsid w:val="00E50C20"/>
    <w:rsid w:val="00E51663"/>
    <w:rsid w:val="00E52B50"/>
    <w:rsid w:val="00E53B08"/>
    <w:rsid w:val="00E541B1"/>
    <w:rsid w:val="00E547B7"/>
    <w:rsid w:val="00E550D2"/>
    <w:rsid w:val="00E55BE9"/>
    <w:rsid w:val="00E5600F"/>
    <w:rsid w:val="00E56341"/>
    <w:rsid w:val="00E57614"/>
    <w:rsid w:val="00E60050"/>
    <w:rsid w:val="00E6043E"/>
    <w:rsid w:val="00E616D2"/>
    <w:rsid w:val="00E6198A"/>
    <w:rsid w:val="00E622CE"/>
    <w:rsid w:val="00E62475"/>
    <w:rsid w:val="00E655BE"/>
    <w:rsid w:val="00E7018E"/>
    <w:rsid w:val="00E71193"/>
    <w:rsid w:val="00E71266"/>
    <w:rsid w:val="00E71E51"/>
    <w:rsid w:val="00E73D3F"/>
    <w:rsid w:val="00E74A2C"/>
    <w:rsid w:val="00E774B1"/>
    <w:rsid w:val="00E80A9B"/>
    <w:rsid w:val="00E82B89"/>
    <w:rsid w:val="00E83FA6"/>
    <w:rsid w:val="00E84A89"/>
    <w:rsid w:val="00E85335"/>
    <w:rsid w:val="00E8564A"/>
    <w:rsid w:val="00E876A9"/>
    <w:rsid w:val="00E87920"/>
    <w:rsid w:val="00E92ADF"/>
    <w:rsid w:val="00E93670"/>
    <w:rsid w:val="00E93867"/>
    <w:rsid w:val="00E95308"/>
    <w:rsid w:val="00E956CE"/>
    <w:rsid w:val="00E96FD4"/>
    <w:rsid w:val="00EA0601"/>
    <w:rsid w:val="00EA0B99"/>
    <w:rsid w:val="00EA2040"/>
    <w:rsid w:val="00EA31D2"/>
    <w:rsid w:val="00EA504B"/>
    <w:rsid w:val="00EA5160"/>
    <w:rsid w:val="00EA66BC"/>
    <w:rsid w:val="00EA6A79"/>
    <w:rsid w:val="00EA6B1F"/>
    <w:rsid w:val="00EA6F2C"/>
    <w:rsid w:val="00EA7393"/>
    <w:rsid w:val="00EA740A"/>
    <w:rsid w:val="00EA79B9"/>
    <w:rsid w:val="00EB0BFC"/>
    <w:rsid w:val="00EB0E39"/>
    <w:rsid w:val="00EB1A89"/>
    <w:rsid w:val="00EB1BEF"/>
    <w:rsid w:val="00EB20B1"/>
    <w:rsid w:val="00EB27CA"/>
    <w:rsid w:val="00EB332F"/>
    <w:rsid w:val="00EB48FF"/>
    <w:rsid w:val="00EC1722"/>
    <w:rsid w:val="00EC25AA"/>
    <w:rsid w:val="00EC2E1A"/>
    <w:rsid w:val="00EC38F8"/>
    <w:rsid w:val="00EC47D1"/>
    <w:rsid w:val="00EC71B1"/>
    <w:rsid w:val="00EC76F1"/>
    <w:rsid w:val="00EC776B"/>
    <w:rsid w:val="00ED1236"/>
    <w:rsid w:val="00ED1A2F"/>
    <w:rsid w:val="00ED2983"/>
    <w:rsid w:val="00ED3908"/>
    <w:rsid w:val="00ED3BE5"/>
    <w:rsid w:val="00ED464D"/>
    <w:rsid w:val="00ED7026"/>
    <w:rsid w:val="00EE13A9"/>
    <w:rsid w:val="00EE2099"/>
    <w:rsid w:val="00EE386E"/>
    <w:rsid w:val="00EF04A2"/>
    <w:rsid w:val="00EF1DB6"/>
    <w:rsid w:val="00EF3CD8"/>
    <w:rsid w:val="00EF469B"/>
    <w:rsid w:val="00EF5278"/>
    <w:rsid w:val="00EF730A"/>
    <w:rsid w:val="00EF7679"/>
    <w:rsid w:val="00F01560"/>
    <w:rsid w:val="00F0323E"/>
    <w:rsid w:val="00F0334E"/>
    <w:rsid w:val="00F03DD3"/>
    <w:rsid w:val="00F05B59"/>
    <w:rsid w:val="00F062FD"/>
    <w:rsid w:val="00F06CFE"/>
    <w:rsid w:val="00F078E7"/>
    <w:rsid w:val="00F07C1B"/>
    <w:rsid w:val="00F07F5C"/>
    <w:rsid w:val="00F102FF"/>
    <w:rsid w:val="00F119E3"/>
    <w:rsid w:val="00F11ADD"/>
    <w:rsid w:val="00F14E09"/>
    <w:rsid w:val="00F15417"/>
    <w:rsid w:val="00F158A1"/>
    <w:rsid w:val="00F15B2A"/>
    <w:rsid w:val="00F21342"/>
    <w:rsid w:val="00F21958"/>
    <w:rsid w:val="00F22C56"/>
    <w:rsid w:val="00F23712"/>
    <w:rsid w:val="00F269E5"/>
    <w:rsid w:val="00F26D50"/>
    <w:rsid w:val="00F274FB"/>
    <w:rsid w:val="00F3054E"/>
    <w:rsid w:val="00F30C64"/>
    <w:rsid w:val="00F31556"/>
    <w:rsid w:val="00F323B8"/>
    <w:rsid w:val="00F32547"/>
    <w:rsid w:val="00F34228"/>
    <w:rsid w:val="00F3526A"/>
    <w:rsid w:val="00F363A4"/>
    <w:rsid w:val="00F37494"/>
    <w:rsid w:val="00F40EAF"/>
    <w:rsid w:val="00F41CE9"/>
    <w:rsid w:val="00F43F68"/>
    <w:rsid w:val="00F47D2B"/>
    <w:rsid w:val="00F516C2"/>
    <w:rsid w:val="00F536A2"/>
    <w:rsid w:val="00F5411C"/>
    <w:rsid w:val="00F54F2E"/>
    <w:rsid w:val="00F6042B"/>
    <w:rsid w:val="00F60698"/>
    <w:rsid w:val="00F60B45"/>
    <w:rsid w:val="00F626DD"/>
    <w:rsid w:val="00F628F4"/>
    <w:rsid w:val="00F63C0B"/>
    <w:rsid w:val="00F6409D"/>
    <w:rsid w:val="00F64B7A"/>
    <w:rsid w:val="00F657C6"/>
    <w:rsid w:val="00F65E48"/>
    <w:rsid w:val="00F66D32"/>
    <w:rsid w:val="00F67B18"/>
    <w:rsid w:val="00F713EB"/>
    <w:rsid w:val="00F71C39"/>
    <w:rsid w:val="00F71DC5"/>
    <w:rsid w:val="00F74939"/>
    <w:rsid w:val="00F7544C"/>
    <w:rsid w:val="00F77E35"/>
    <w:rsid w:val="00F802EB"/>
    <w:rsid w:val="00F82116"/>
    <w:rsid w:val="00F82339"/>
    <w:rsid w:val="00F82B33"/>
    <w:rsid w:val="00F83241"/>
    <w:rsid w:val="00F9014B"/>
    <w:rsid w:val="00F9032F"/>
    <w:rsid w:val="00F9288F"/>
    <w:rsid w:val="00F92EF5"/>
    <w:rsid w:val="00F940B6"/>
    <w:rsid w:val="00F9419F"/>
    <w:rsid w:val="00F943E6"/>
    <w:rsid w:val="00F9444C"/>
    <w:rsid w:val="00F95EFA"/>
    <w:rsid w:val="00F96C61"/>
    <w:rsid w:val="00FA0908"/>
    <w:rsid w:val="00FA16B7"/>
    <w:rsid w:val="00FA29BB"/>
    <w:rsid w:val="00FA2C08"/>
    <w:rsid w:val="00FA2F09"/>
    <w:rsid w:val="00FA378C"/>
    <w:rsid w:val="00FA3D37"/>
    <w:rsid w:val="00FA3DBA"/>
    <w:rsid w:val="00FA5A0B"/>
    <w:rsid w:val="00FA5E16"/>
    <w:rsid w:val="00FA7A29"/>
    <w:rsid w:val="00FB02C3"/>
    <w:rsid w:val="00FB03E2"/>
    <w:rsid w:val="00FB0A07"/>
    <w:rsid w:val="00FB303A"/>
    <w:rsid w:val="00FB38C2"/>
    <w:rsid w:val="00FB3F37"/>
    <w:rsid w:val="00FB6C3A"/>
    <w:rsid w:val="00FC014F"/>
    <w:rsid w:val="00FC1553"/>
    <w:rsid w:val="00FC1CBC"/>
    <w:rsid w:val="00FC30D2"/>
    <w:rsid w:val="00FC36C2"/>
    <w:rsid w:val="00FC3FBE"/>
    <w:rsid w:val="00FC464F"/>
    <w:rsid w:val="00FC48E2"/>
    <w:rsid w:val="00FC5186"/>
    <w:rsid w:val="00FC52BC"/>
    <w:rsid w:val="00FC54EE"/>
    <w:rsid w:val="00FC5E64"/>
    <w:rsid w:val="00FD4CFF"/>
    <w:rsid w:val="00FD4FDF"/>
    <w:rsid w:val="00FD561F"/>
    <w:rsid w:val="00FD58B1"/>
    <w:rsid w:val="00FD5A69"/>
    <w:rsid w:val="00FD603D"/>
    <w:rsid w:val="00FD6690"/>
    <w:rsid w:val="00FD699C"/>
    <w:rsid w:val="00FE0F16"/>
    <w:rsid w:val="00FE12EC"/>
    <w:rsid w:val="00FE22C0"/>
    <w:rsid w:val="00FE2BA2"/>
    <w:rsid w:val="00FE3CEE"/>
    <w:rsid w:val="00FE414A"/>
    <w:rsid w:val="00FE45A0"/>
    <w:rsid w:val="00FE4B0F"/>
    <w:rsid w:val="00FE6C6D"/>
    <w:rsid w:val="00FE7D9A"/>
    <w:rsid w:val="00FF05E0"/>
    <w:rsid w:val="00FF0848"/>
    <w:rsid w:val="00FF158A"/>
    <w:rsid w:val="00FF1AD5"/>
    <w:rsid w:val="00FF558F"/>
    <w:rsid w:val="00FF625B"/>
    <w:rsid w:val="00FF6E33"/>
    <w:rsid w:val="00FF75E9"/>
    <w:rsid w:val="0349684E"/>
    <w:rsid w:val="050D5214"/>
    <w:rsid w:val="0530381C"/>
    <w:rsid w:val="064F4637"/>
    <w:rsid w:val="06D83C8C"/>
    <w:rsid w:val="0A505C39"/>
    <w:rsid w:val="0C306FD9"/>
    <w:rsid w:val="109F68C5"/>
    <w:rsid w:val="15592D91"/>
    <w:rsid w:val="15D03E49"/>
    <w:rsid w:val="19C82860"/>
    <w:rsid w:val="1BC567A2"/>
    <w:rsid w:val="1C291C22"/>
    <w:rsid w:val="2E160300"/>
    <w:rsid w:val="317D15CC"/>
    <w:rsid w:val="3E4636AB"/>
    <w:rsid w:val="3E8201C3"/>
    <w:rsid w:val="3F952E18"/>
    <w:rsid w:val="401B054E"/>
    <w:rsid w:val="40D07033"/>
    <w:rsid w:val="465D3F9B"/>
    <w:rsid w:val="48512886"/>
    <w:rsid w:val="49C21098"/>
    <w:rsid w:val="4B252E7B"/>
    <w:rsid w:val="4D8729FB"/>
    <w:rsid w:val="573E4AF4"/>
    <w:rsid w:val="602F324C"/>
    <w:rsid w:val="61EE01E0"/>
    <w:rsid w:val="65B96046"/>
    <w:rsid w:val="66BB6483"/>
    <w:rsid w:val="689B303F"/>
    <w:rsid w:val="6F5C00B1"/>
    <w:rsid w:val="71935EFB"/>
    <w:rsid w:val="73A47760"/>
    <w:rsid w:val="765B68FD"/>
    <w:rsid w:val="7E3812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fillcolor="white">
      <v:fill color="white"/>
    </o:shapedefaults>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98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81598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815989"/>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815989"/>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815989"/>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815989"/>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815989"/>
    <w:rPr>
      <w:sz w:val="18"/>
      <w:szCs w:val="18"/>
    </w:rPr>
  </w:style>
  <w:style w:type="paragraph" w:styleId="a4">
    <w:name w:val="footer"/>
    <w:basedOn w:val="a"/>
    <w:link w:val="Char0"/>
    <w:uiPriority w:val="99"/>
    <w:unhideWhenUsed/>
    <w:qFormat/>
    <w:rsid w:val="00815989"/>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815989"/>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815989"/>
    <w:pPr>
      <w:spacing w:before="240" w:after="60" w:line="312" w:lineRule="auto"/>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qFormat/>
    <w:rsid w:val="00815989"/>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815989"/>
    <w:pPr>
      <w:spacing w:before="240" w:after="60"/>
      <w:jc w:val="center"/>
      <w:outlineLvl w:val="0"/>
    </w:pPr>
    <w:rPr>
      <w:rFonts w:asciiTheme="majorHAnsi" w:eastAsia="宋体" w:hAnsiTheme="majorHAnsi" w:cstheme="majorBidi"/>
      <w:b/>
      <w:bCs/>
      <w:sz w:val="32"/>
      <w:szCs w:val="32"/>
    </w:rPr>
  </w:style>
  <w:style w:type="character" w:styleId="a9">
    <w:name w:val="Strong"/>
    <w:basedOn w:val="a0"/>
    <w:uiPriority w:val="22"/>
    <w:qFormat/>
    <w:rsid w:val="00815989"/>
    <w:rPr>
      <w:b/>
      <w:bCs/>
    </w:rPr>
  </w:style>
  <w:style w:type="character" w:styleId="aa">
    <w:name w:val="Emphasis"/>
    <w:basedOn w:val="a0"/>
    <w:uiPriority w:val="20"/>
    <w:qFormat/>
    <w:rsid w:val="00815989"/>
    <w:rPr>
      <w:i/>
      <w:iCs/>
    </w:rPr>
  </w:style>
  <w:style w:type="character" w:styleId="ab">
    <w:name w:val="Hyperlink"/>
    <w:basedOn w:val="a0"/>
    <w:uiPriority w:val="99"/>
    <w:unhideWhenUsed/>
    <w:qFormat/>
    <w:rsid w:val="00815989"/>
    <w:rPr>
      <w:color w:val="0000FF"/>
      <w:u w:val="single"/>
    </w:rPr>
  </w:style>
  <w:style w:type="character" w:customStyle="1" w:styleId="Char1">
    <w:name w:val="页眉 Char"/>
    <w:basedOn w:val="a0"/>
    <w:link w:val="a5"/>
    <w:uiPriority w:val="99"/>
    <w:semiHidden/>
    <w:qFormat/>
    <w:rsid w:val="00815989"/>
    <w:rPr>
      <w:sz w:val="18"/>
      <w:szCs w:val="18"/>
    </w:rPr>
  </w:style>
  <w:style w:type="character" w:customStyle="1" w:styleId="Char0">
    <w:name w:val="页脚 Char"/>
    <w:basedOn w:val="a0"/>
    <w:link w:val="a4"/>
    <w:uiPriority w:val="99"/>
    <w:qFormat/>
    <w:rsid w:val="00815989"/>
    <w:rPr>
      <w:sz w:val="18"/>
      <w:szCs w:val="18"/>
    </w:rPr>
  </w:style>
  <w:style w:type="character" w:customStyle="1" w:styleId="apple-converted-space">
    <w:name w:val="apple-converted-space"/>
    <w:basedOn w:val="a0"/>
    <w:qFormat/>
    <w:rsid w:val="00815989"/>
  </w:style>
  <w:style w:type="character" w:customStyle="1" w:styleId="Char">
    <w:name w:val="批注框文本 Char"/>
    <w:basedOn w:val="a0"/>
    <w:link w:val="a3"/>
    <w:uiPriority w:val="99"/>
    <w:semiHidden/>
    <w:qFormat/>
    <w:rsid w:val="00815989"/>
    <w:rPr>
      <w:sz w:val="18"/>
      <w:szCs w:val="18"/>
    </w:rPr>
  </w:style>
  <w:style w:type="paragraph" w:styleId="ac">
    <w:name w:val="List Paragraph"/>
    <w:basedOn w:val="a"/>
    <w:uiPriority w:val="34"/>
    <w:qFormat/>
    <w:rsid w:val="00815989"/>
    <w:pPr>
      <w:ind w:firstLineChars="200" w:firstLine="420"/>
    </w:pPr>
  </w:style>
  <w:style w:type="paragraph" w:customStyle="1" w:styleId="bsharetext">
    <w:name w:val="bshare_text"/>
    <w:basedOn w:val="a"/>
    <w:qFormat/>
    <w:rsid w:val="00815989"/>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qFormat/>
    <w:rsid w:val="00815989"/>
    <w:rPr>
      <w:b/>
      <w:bCs/>
      <w:kern w:val="44"/>
      <w:sz w:val="44"/>
      <w:szCs w:val="44"/>
    </w:rPr>
  </w:style>
  <w:style w:type="character" w:customStyle="1" w:styleId="date3">
    <w:name w:val="date3"/>
    <w:basedOn w:val="a0"/>
    <w:qFormat/>
    <w:rsid w:val="00815989"/>
  </w:style>
  <w:style w:type="character" w:customStyle="1" w:styleId="font">
    <w:name w:val="font"/>
    <w:basedOn w:val="a0"/>
    <w:qFormat/>
    <w:rsid w:val="00815989"/>
  </w:style>
  <w:style w:type="paragraph" w:styleId="ad">
    <w:name w:val="No Spacing"/>
    <w:uiPriority w:val="1"/>
    <w:qFormat/>
    <w:rsid w:val="00815989"/>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0"/>
    <w:link w:val="2"/>
    <w:uiPriority w:val="9"/>
    <w:qFormat/>
    <w:rsid w:val="00815989"/>
    <w:rPr>
      <w:rFonts w:ascii="宋体" w:eastAsia="宋体" w:hAnsi="宋体" w:cs="宋体"/>
      <w:kern w:val="0"/>
      <w:sz w:val="24"/>
      <w:szCs w:val="24"/>
    </w:rPr>
  </w:style>
  <w:style w:type="character" w:customStyle="1" w:styleId="3Char">
    <w:name w:val="标题 3 Char"/>
    <w:basedOn w:val="a0"/>
    <w:link w:val="3"/>
    <w:uiPriority w:val="9"/>
    <w:qFormat/>
    <w:rsid w:val="00815989"/>
    <w:rPr>
      <w:b/>
      <w:bCs/>
      <w:sz w:val="32"/>
      <w:szCs w:val="32"/>
    </w:rPr>
  </w:style>
  <w:style w:type="character" w:customStyle="1" w:styleId="fl">
    <w:name w:val="fl"/>
    <w:basedOn w:val="a0"/>
    <w:qFormat/>
    <w:rsid w:val="00815989"/>
  </w:style>
  <w:style w:type="paragraph" w:customStyle="1" w:styleId="lead">
    <w:name w:val="lead"/>
    <w:basedOn w:val="a"/>
    <w:qFormat/>
    <w:rsid w:val="00815989"/>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qFormat/>
    <w:rsid w:val="00815989"/>
    <w:rPr>
      <w:rFonts w:asciiTheme="majorHAnsi" w:eastAsiaTheme="majorEastAsia" w:hAnsiTheme="majorHAnsi" w:cstheme="majorBidi"/>
      <w:b/>
      <w:bCs/>
      <w:sz w:val="28"/>
      <w:szCs w:val="28"/>
    </w:rPr>
  </w:style>
  <w:style w:type="character" w:customStyle="1" w:styleId="latest-item-title">
    <w:name w:val="latest-item-title"/>
    <w:basedOn w:val="a0"/>
    <w:qFormat/>
    <w:rsid w:val="00815989"/>
  </w:style>
  <w:style w:type="character" w:customStyle="1" w:styleId="h1title2">
    <w:name w:val="h1title2"/>
    <w:basedOn w:val="a0"/>
    <w:qFormat/>
    <w:rsid w:val="00815989"/>
  </w:style>
  <w:style w:type="character" w:customStyle="1" w:styleId="translation">
    <w:name w:val="translation"/>
    <w:basedOn w:val="a0"/>
    <w:qFormat/>
    <w:rsid w:val="00815989"/>
  </w:style>
  <w:style w:type="character" w:customStyle="1" w:styleId="abbr-date">
    <w:name w:val="abbr-date"/>
    <w:basedOn w:val="a0"/>
    <w:qFormat/>
    <w:rsid w:val="00815989"/>
  </w:style>
  <w:style w:type="character" w:customStyle="1" w:styleId="translate-description">
    <w:name w:val="translate-description"/>
    <w:basedOn w:val="a0"/>
    <w:qFormat/>
    <w:rsid w:val="00815989"/>
  </w:style>
  <w:style w:type="paragraph" w:customStyle="1" w:styleId="result-info">
    <w:name w:val="result-info"/>
    <w:basedOn w:val="a"/>
    <w:qFormat/>
    <w:rsid w:val="00815989"/>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qFormat/>
    <w:rsid w:val="00815989"/>
  </w:style>
  <w:style w:type="paragraph" w:customStyle="1" w:styleId="dtn">
    <w:name w:val="dtn"/>
    <w:basedOn w:val="a"/>
    <w:qFormat/>
    <w:rsid w:val="0081598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qFormat/>
    <w:rsid w:val="00815989"/>
  </w:style>
  <w:style w:type="character" w:customStyle="1" w:styleId="Char3">
    <w:name w:val="标题 Char"/>
    <w:basedOn w:val="a0"/>
    <w:link w:val="a8"/>
    <w:uiPriority w:val="10"/>
    <w:qFormat/>
    <w:rsid w:val="00815989"/>
    <w:rPr>
      <w:rFonts w:asciiTheme="majorHAnsi" w:eastAsia="宋体" w:hAnsiTheme="majorHAnsi" w:cstheme="majorBidi"/>
      <w:b/>
      <w:bCs/>
      <w:sz w:val="32"/>
      <w:szCs w:val="32"/>
    </w:rPr>
  </w:style>
  <w:style w:type="paragraph" w:customStyle="1" w:styleId="Default">
    <w:name w:val="Default"/>
    <w:qFormat/>
    <w:rsid w:val="00815989"/>
    <w:pPr>
      <w:widowControl w:val="0"/>
      <w:autoSpaceDE w:val="0"/>
      <w:autoSpaceDN w:val="0"/>
      <w:adjustRightInd w:val="0"/>
    </w:pPr>
    <w:rPr>
      <w:rFonts w:ascii="仿宋_GB2312" w:eastAsia="仿宋_GB2312" w:hAnsiTheme="minorHAnsi" w:cs="仿宋_GB2312"/>
      <w:color w:val="000000"/>
      <w:sz w:val="24"/>
      <w:szCs w:val="24"/>
    </w:rPr>
  </w:style>
  <w:style w:type="character" w:customStyle="1" w:styleId="web2">
    <w:name w:val="web2"/>
    <w:basedOn w:val="a0"/>
    <w:qFormat/>
    <w:rsid w:val="00815989"/>
  </w:style>
  <w:style w:type="character" w:customStyle="1" w:styleId="font-it2">
    <w:name w:val="font-it2"/>
    <w:basedOn w:val="a0"/>
    <w:qFormat/>
    <w:rsid w:val="00815989"/>
  </w:style>
  <w:style w:type="character" w:customStyle="1" w:styleId="5Char">
    <w:name w:val="标题 5 Char"/>
    <w:basedOn w:val="a0"/>
    <w:link w:val="5"/>
    <w:uiPriority w:val="9"/>
    <w:semiHidden/>
    <w:qFormat/>
    <w:rsid w:val="00815989"/>
    <w:rPr>
      <w:b/>
      <w:bCs/>
      <w:sz w:val="28"/>
      <w:szCs w:val="28"/>
    </w:rPr>
  </w:style>
  <w:style w:type="character" w:styleId="ae">
    <w:name w:val="Placeholder Text"/>
    <w:basedOn w:val="a0"/>
    <w:uiPriority w:val="99"/>
    <w:semiHidden/>
    <w:qFormat/>
    <w:rsid w:val="00815989"/>
    <w:rPr>
      <w:color w:val="808080"/>
    </w:rPr>
  </w:style>
  <w:style w:type="character" w:customStyle="1" w:styleId="web">
    <w:name w:val="web"/>
    <w:basedOn w:val="a0"/>
    <w:qFormat/>
    <w:rsid w:val="00815989"/>
  </w:style>
  <w:style w:type="character" w:customStyle="1" w:styleId="Char2">
    <w:name w:val="副标题 Char"/>
    <w:basedOn w:val="a0"/>
    <w:link w:val="a6"/>
    <w:uiPriority w:val="11"/>
    <w:qFormat/>
    <w:rsid w:val="00815989"/>
    <w:rPr>
      <w:rFonts w:asciiTheme="majorHAnsi" w:eastAsia="宋体" w:hAnsiTheme="majorHAnsi" w:cstheme="majorBidi"/>
      <w:b/>
      <w:bCs/>
      <w:kern w:val="28"/>
      <w:sz w:val="32"/>
      <w:szCs w:val="32"/>
    </w:rPr>
  </w:style>
  <w:style w:type="character" w:customStyle="1" w:styleId="date">
    <w:name w:val="date"/>
    <w:basedOn w:val="a0"/>
    <w:qFormat/>
    <w:rsid w:val="00815989"/>
  </w:style>
  <w:style w:type="character" w:customStyle="1" w:styleId="font-it">
    <w:name w:val="font-it"/>
    <w:basedOn w:val="a0"/>
    <w:qFormat/>
    <w:rsid w:val="00815989"/>
  </w:style>
  <w:style w:type="character" w:customStyle="1" w:styleId="tiyi1">
    <w:name w:val="tiyi1"/>
    <w:basedOn w:val="a0"/>
    <w:qFormat/>
    <w:rsid w:val="00815989"/>
  </w:style>
</w:styles>
</file>

<file path=word/webSettings.xml><?xml version="1.0" encoding="utf-8"?>
<w:webSettings xmlns:r="http://schemas.openxmlformats.org/officeDocument/2006/relationships" xmlns:w="http://schemas.openxmlformats.org/wordprocessingml/2006/main">
  <w:divs>
    <w:div w:id="56784913">
      <w:bodyDiv w:val="1"/>
      <w:marLeft w:val="0"/>
      <w:marRight w:val="0"/>
      <w:marTop w:val="0"/>
      <w:marBottom w:val="0"/>
      <w:divBdr>
        <w:top w:val="none" w:sz="0" w:space="0" w:color="auto"/>
        <w:left w:val="none" w:sz="0" w:space="0" w:color="auto"/>
        <w:bottom w:val="none" w:sz="0" w:space="0" w:color="auto"/>
        <w:right w:val="none" w:sz="0" w:space="0" w:color="auto"/>
      </w:divBdr>
    </w:div>
    <w:div w:id="12473038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2050"/>
    <customShpInfo spid="_x0000_s2054"/>
    <customShpInfo spid="_x0000_s2078"/>
    <customShpInfo spid="_x0000_s2106"/>
    <customShpInfo spid="_x0000_s2104"/>
    <customShpInfo spid="_x0000_s2091"/>
    <customShpInfo spid="_x0000_s2068"/>
  </customShpExts>
</s:customData>
</file>

<file path=customXml/itemProps1.xml><?xml version="1.0" encoding="utf-8"?>
<ds:datastoreItem xmlns:ds="http://schemas.openxmlformats.org/officeDocument/2006/customXml" ds:itemID="{75C42B6C-2D32-4E5F-88F6-D66EF3F2704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16</Pages>
  <Words>2582</Words>
  <Characters>14718</Characters>
  <Application>Microsoft Office Word</Application>
  <DocSecurity>0</DocSecurity>
  <Lines>122</Lines>
  <Paragraphs>34</Paragraphs>
  <ScaleCrop>false</ScaleCrop>
  <Company>Microsoft</Company>
  <LinksUpToDate>false</LinksUpToDate>
  <CharactersWithSpaces>17266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wei</cp:lastModifiedBy>
  <cp:revision>84</cp:revision>
  <cp:lastPrinted>2022-08-03T02:37:00Z</cp:lastPrinted>
  <dcterms:created xsi:type="dcterms:W3CDTF">2021-09-01T00:58:00Z</dcterms:created>
  <dcterms:modified xsi:type="dcterms:W3CDTF">2022-08-03T02:49:00Z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5A346D7624D64BC99304C2453335B232</vt:lpwstr>
  </property>
</Properties>
</file>